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16591" w14:textId="5522CF6B" w:rsidR="00D22202" w:rsidRDefault="007B01F4" w:rsidP="007B01F4">
      <w:pPr>
        <w:pStyle w:val="Pagedecouverture"/>
        <w:rPr>
          <w:noProof/>
        </w:rPr>
      </w:pPr>
      <w:bookmarkStart w:id="0" w:name="LW_BM_COVERPAGE"/>
      <w:r>
        <w:rPr>
          <w:noProof/>
        </w:rPr>
        <w:pict w14:anchorId="03297B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C1AE5C5F-2C53-4480-8F03-CE24916C2ADA" style="width:455.15pt;height:401.95pt">
            <v:imagedata r:id="rId10" o:title=""/>
          </v:shape>
        </w:pict>
      </w:r>
    </w:p>
    <w:bookmarkEnd w:id="0"/>
    <w:p w14:paraId="3B3A28AC" w14:textId="77777777" w:rsidR="00503B1B" w:rsidRDefault="00503B1B" w:rsidP="00503B1B">
      <w:pPr>
        <w:rPr>
          <w:noProof/>
          <w:lang w:val="fr-BE"/>
        </w:rPr>
        <w:sectPr w:rsidR="00503B1B" w:rsidSect="007B01F4">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2"/>
          <w:cols w:space="720"/>
          <w:docGrid w:linePitch="360"/>
        </w:sectPr>
      </w:pPr>
    </w:p>
    <w:tbl>
      <w:tblPr>
        <w:tblStyle w:val="TableGrid"/>
        <w:tblW w:w="10188" w:type="dxa"/>
        <w:tblLook w:val="01E0" w:firstRow="1" w:lastRow="1" w:firstColumn="1" w:lastColumn="1" w:noHBand="0" w:noVBand="0"/>
      </w:tblPr>
      <w:tblGrid>
        <w:gridCol w:w="10188"/>
      </w:tblGrid>
      <w:tr w:rsidR="0018785B" w14:paraId="6AD57C92" w14:textId="77777777" w:rsidTr="37163261">
        <w:tc>
          <w:tcPr>
            <w:tcW w:w="10188" w:type="dxa"/>
            <w:tcBorders>
              <w:bottom w:val="single" w:sz="4" w:space="0" w:color="auto"/>
            </w:tcBorders>
            <w:shd w:val="clear" w:color="auto" w:fill="CCCCCC"/>
          </w:tcPr>
          <w:p w14:paraId="6AD57C91" w14:textId="77777777" w:rsidR="0018785B" w:rsidRPr="00C22EC4" w:rsidRDefault="0018785B" w:rsidP="00FA5A6C">
            <w:pPr>
              <w:spacing w:before="60" w:after="60"/>
              <w:jc w:val="center"/>
              <w:rPr>
                <w:rFonts w:ascii="Tahoma" w:hAnsi="Tahoma" w:cs="Tahoma"/>
                <w:b/>
                <w:noProof/>
                <w:sz w:val="22"/>
                <w:szCs w:val="22"/>
              </w:rPr>
            </w:pPr>
            <w:r>
              <w:rPr>
                <w:rFonts w:ascii="Tahoma" w:hAnsi="Tahoma"/>
                <w:b/>
                <w:sz w:val="22"/>
              </w:rPr>
              <w:lastRenderedPageBreak/>
              <w:t>Résumé de l’analyse d’impact</w:t>
            </w:r>
          </w:p>
        </w:tc>
      </w:tr>
      <w:tr w:rsidR="0018785B" w:rsidRPr="001B2DAE" w14:paraId="6AD57C95" w14:textId="77777777" w:rsidTr="37163261">
        <w:trPr>
          <w:trHeight w:val="307"/>
        </w:trPr>
        <w:tc>
          <w:tcPr>
            <w:tcW w:w="10188" w:type="dxa"/>
            <w:tcBorders>
              <w:top w:val="single" w:sz="4" w:space="0" w:color="auto"/>
              <w:left w:val="single" w:sz="4" w:space="0" w:color="auto"/>
              <w:bottom w:val="single" w:sz="4" w:space="0" w:color="auto"/>
              <w:right w:val="single" w:sz="4" w:space="0" w:color="auto"/>
            </w:tcBorders>
            <w:shd w:val="clear" w:color="auto" w:fill="4F81BD" w:themeFill="accent1"/>
          </w:tcPr>
          <w:p w14:paraId="6AD57C94" w14:textId="5339EAF2" w:rsidR="004F4250" w:rsidRPr="003035DA" w:rsidRDefault="0E401A62" w:rsidP="46E43E54">
            <w:pPr>
              <w:spacing w:before="120" w:after="120"/>
              <w:jc w:val="both"/>
              <w:rPr>
                <w:rFonts w:ascii="Tahoma" w:hAnsi="Tahoma" w:cs="Tahoma"/>
                <w:noProof/>
                <w:color w:val="FFFFFF" w:themeColor="background1"/>
                <w:sz w:val="20"/>
                <w:szCs w:val="20"/>
              </w:rPr>
            </w:pPr>
            <w:r>
              <w:rPr>
                <w:rFonts w:ascii="Tahoma" w:hAnsi="Tahoma"/>
                <w:color w:val="FFFFFF" w:themeColor="background1"/>
                <w:sz w:val="20"/>
              </w:rPr>
              <w:t>Analyse d’impact concernant le règlement relatif à l’accélération des capacités industrielles</w:t>
            </w:r>
          </w:p>
        </w:tc>
      </w:tr>
      <w:tr w:rsidR="0018785B" w:rsidRPr="001239CB" w14:paraId="6AD57C97" w14:textId="77777777" w:rsidTr="37163261">
        <w:tc>
          <w:tcPr>
            <w:tcW w:w="10188" w:type="dxa"/>
            <w:tcBorders>
              <w:bottom w:val="single" w:sz="4" w:space="0" w:color="auto"/>
            </w:tcBorders>
            <w:shd w:val="clear" w:color="auto" w:fill="CCCCCC"/>
          </w:tcPr>
          <w:p w14:paraId="6AD57C96" w14:textId="77777777" w:rsidR="0018785B" w:rsidRPr="00B72557" w:rsidRDefault="0018785B" w:rsidP="00FA5A6C">
            <w:pPr>
              <w:spacing w:before="60" w:after="60"/>
              <w:jc w:val="center"/>
              <w:rPr>
                <w:rFonts w:ascii="Tahoma" w:hAnsi="Tahoma" w:cs="Tahoma"/>
                <w:b/>
                <w:noProof/>
                <w:sz w:val="22"/>
                <w:szCs w:val="22"/>
              </w:rPr>
            </w:pPr>
            <w:r>
              <w:rPr>
                <w:rFonts w:ascii="Tahoma" w:hAnsi="Tahoma"/>
                <w:b/>
                <w:sz w:val="22"/>
              </w:rPr>
              <w:t>A. Nécessité d’une action</w:t>
            </w:r>
          </w:p>
        </w:tc>
      </w:tr>
      <w:tr w:rsidR="0018785B" w:rsidRPr="00501394" w14:paraId="6AD57C99" w14:textId="77777777" w:rsidTr="37163261">
        <w:tc>
          <w:tcPr>
            <w:tcW w:w="10188" w:type="dxa"/>
            <w:tcBorders>
              <w:bottom w:val="single" w:sz="4" w:space="0" w:color="auto"/>
            </w:tcBorders>
            <w:shd w:val="clear" w:color="auto" w:fill="E0E0E0"/>
          </w:tcPr>
          <w:p w14:paraId="6AD57C98" w14:textId="541B430A" w:rsidR="0018785B" w:rsidRPr="00FC61FF" w:rsidRDefault="60C93890" w:rsidP="728FB6AB">
            <w:pPr>
              <w:spacing w:before="60" w:after="60"/>
              <w:jc w:val="both"/>
              <w:rPr>
                <w:rFonts w:ascii="Tahoma" w:hAnsi="Tahoma" w:cs="Tahoma"/>
                <w:noProof/>
                <w:sz w:val="20"/>
                <w:szCs w:val="20"/>
                <w:u w:val="single"/>
              </w:rPr>
            </w:pPr>
            <w:r>
              <w:rPr>
                <w:rFonts w:ascii="Tahoma" w:hAnsi="Tahoma"/>
                <w:b/>
                <w:sz w:val="20"/>
              </w:rPr>
              <w:t xml:space="preserve">Pourquoi? Quel est le problème à résoudre? </w:t>
            </w:r>
          </w:p>
        </w:tc>
      </w:tr>
      <w:tr w:rsidR="0018785B" w:rsidRPr="00555298" w14:paraId="6AD57CA4" w14:textId="77777777" w:rsidTr="37163261">
        <w:tc>
          <w:tcPr>
            <w:tcW w:w="10188" w:type="dxa"/>
            <w:tcBorders>
              <w:bottom w:val="single" w:sz="4" w:space="0" w:color="auto"/>
            </w:tcBorders>
          </w:tcPr>
          <w:p w14:paraId="348E7256" w14:textId="77777777" w:rsidR="005642F9" w:rsidRDefault="0076242A" w:rsidP="20859341">
            <w:pPr>
              <w:jc w:val="both"/>
              <w:rPr>
                <w:rFonts w:ascii="Arial" w:hAnsi="Arial" w:cs="Arial"/>
                <w:noProof/>
                <w:sz w:val="20"/>
                <w:szCs w:val="20"/>
              </w:rPr>
            </w:pPr>
            <w:r>
              <w:rPr>
                <w:rFonts w:ascii="Arial" w:hAnsi="Arial"/>
                <w:sz w:val="20"/>
              </w:rPr>
              <w:t xml:space="preserve">Le problème général que cette initiative vise à résoudre est la nécessité de renforcer la compétitivité et la résilience de l’industrie de l’UE dans le contexte de pression mondiale croissante, tout en accélérant la décarbonation de ses processus et de ses produits. Ce problème général se décline en trois sous-problèmes: la demande limitée de produits industriels européens bas carbone, les vulnérabilités des chaînes d’approvisionnement dans les secteurs stratégiques et les technologies «zéro net», ainsi que l’absence de déploiement à grande échelle des technologies de décarbonation industrielle. </w:t>
            </w:r>
          </w:p>
          <w:p w14:paraId="6AD57CA3" w14:textId="30E62698" w:rsidR="0018785B" w:rsidRDefault="0D36B5F9" w:rsidP="20859341">
            <w:pPr>
              <w:jc w:val="both"/>
              <w:rPr>
                <w:rFonts w:ascii="Arial" w:hAnsi="Arial" w:cs="Arial"/>
                <w:noProof/>
                <w:sz w:val="20"/>
                <w:szCs w:val="20"/>
              </w:rPr>
            </w:pPr>
            <w:r>
              <w:rPr>
                <w:rFonts w:ascii="Arial" w:hAnsi="Arial"/>
                <w:sz w:val="20"/>
              </w:rPr>
              <w:t xml:space="preserve">L’industrie manufacturière de l’UE est le plus gros employeur (18,7 %) et le premier contributeur à la valeur ajoutée (24,1 %). Cependant, elle perd du terrain. La part de l’industrie manufacturière dans le PIB de l’UE est passée de 17 % en 2000 à 14 % en 2024. Les faibles niveaux d’investissement, conjugués à des défis tels que la lenteur de la croissance économique, les pratiques déloyales en matière de concurrence et de commerce international, la nécessité de la décarbonation et la concurrence technologique, ont une incidence sur la compétitivité de l’industrie de l’UE et nuisent à la rentabilité des investissements dans les technologies européennes bas carbone. Le marché mondial des technologies «zéro net» devrait presque tripler d’ici à 2035. Alors que leur déploiement dans l’UE progresse, la part de marché mondiale de l’UE est en baisse et les capacités de production nationales restent limitées. Par ailleurs, les technologies clés qui contribuent à la transition écologique et numérique étant actuellement exposées à des dépendances stratégiques et à des risques liés aux chaînes d’approvisionnement, la sécurité économique constitue un pilier central de la politique industrielle de l’UE. Sans une base industrielle compétitive et décarbonée, l’UE ne parviendra pas à atteindre les objectifs du pacte pour une industrie propre et de la stratégie en matière de sécurité économique. </w:t>
            </w:r>
          </w:p>
        </w:tc>
      </w:tr>
      <w:tr w:rsidR="0018785B" w:rsidRPr="00501394" w14:paraId="6AD57CA6" w14:textId="77777777" w:rsidTr="37163261">
        <w:tc>
          <w:tcPr>
            <w:tcW w:w="10188" w:type="dxa"/>
            <w:tcBorders>
              <w:bottom w:val="single" w:sz="4" w:space="0" w:color="auto"/>
            </w:tcBorders>
            <w:shd w:val="clear" w:color="auto" w:fill="E6E6E6"/>
          </w:tcPr>
          <w:p w14:paraId="6AD57CA5" w14:textId="354E1CDF" w:rsidR="0018785B" w:rsidRPr="00CD4871" w:rsidRDefault="0018785B" w:rsidP="125C8194">
            <w:pPr>
              <w:spacing w:before="60" w:after="60"/>
              <w:jc w:val="both"/>
              <w:rPr>
                <w:rFonts w:ascii="Tahoma" w:hAnsi="Tahoma" w:cs="Tahoma"/>
                <w:noProof/>
                <w:sz w:val="20"/>
                <w:szCs w:val="20"/>
                <w:highlight w:val="yellow"/>
                <w:u w:val="single"/>
              </w:rPr>
            </w:pPr>
            <w:r>
              <w:rPr>
                <w:rFonts w:ascii="Tahoma" w:hAnsi="Tahoma"/>
                <w:b/>
                <w:sz w:val="20"/>
              </w:rPr>
              <w:t xml:space="preserve">Quel est l’objectif visé par cette initiative? </w:t>
            </w:r>
          </w:p>
        </w:tc>
      </w:tr>
      <w:tr w:rsidR="0018785B" w:rsidRPr="00555298" w14:paraId="6AD57CAE" w14:textId="77777777" w:rsidTr="37163261">
        <w:tc>
          <w:tcPr>
            <w:tcW w:w="10188" w:type="dxa"/>
            <w:tcBorders>
              <w:bottom w:val="single" w:sz="4" w:space="0" w:color="auto"/>
            </w:tcBorders>
          </w:tcPr>
          <w:p w14:paraId="5CB9B539" w14:textId="13FFEB75" w:rsidR="00CE16F1" w:rsidRDefault="7B0BACF4" w:rsidP="222981CE">
            <w:pPr>
              <w:jc w:val="both"/>
              <w:rPr>
                <w:rFonts w:ascii="Arial" w:eastAsia="Arial" w:hAnsi="Arial" w:cs="Arial"/>
                <w:noProof/>
                <w:sz w:val="20"/>
                <w:szCs w:val="20"/>
              </w:rPr>
            </w:pPr>
            <w:r>
              <w:rPr>
                <w:rFonts w:ascii="Arial" w:hAnsi="Arial"/>
                <w:sz w:val="20"/>
              </w:rPr>
              <w:t>L’objectif général est de renforcer la résilience et la décarbonation de la production industrielle au sein de l’industrie manufacturière de l’UE, en accordant une attention particulière aux industries grandes consommatrices d’énergie (IGCE), aux technologies «zéro net» et au secteur automobile, compte tenu de leur contribution à la compétitivité, à la sécurité économique et à la croissance économique durable de l’Europe. L’objectif général se décline en cinq objectifs spécifiques:</w:t>
            </w:r>
          </w:p>
          <w:p w14:paraId="71B73676" w14:textId="2261FC62" w:rsidR="7E76025D" w:rsidRDefault="1110B088" w:rsidP="14688A8D">
            <w:pPr>
              <w:spacing w:before="60"/>
              <w:jc w:val="both"/>
              <w:rPr>
                <w:rFonts w:ascii="Arial" w:eastAsia="Arial" w:hAnsi="Arial" w:cs="Arial"/>
                <w:noProof/>
                <w:sz w:val="20"/>
                <w:szCs w:val="20"/>
              </w:rPr>
            </w:pPr>
            <w:r>
              <w:rPr>
                <w:rFonts w:ascii="Arial" w:hAnsi="Arial"/>
                <w:sz w:val="20"/>
              </w:rPr>
              <w:t xml:space="preserve">(OS1) </w:t>
            </w:r>
            <w:r>
              <w:rPr>
                <w:rFonts w:ascii="Arial" w:hAnsi="Arial"/>
                <w:color w:val="000000" w:themeColor="text1"/>
                <w:sz w:val="20"/>
              </w:rPr>
              <w:t>faciliter la différenciation des produits industriels bas carbone afin d’accroître leur valeur et leur attractivité sur le marché;</w:t>
            </w:r>
          </w:p>
          <w:p w14:paraId="6F44D941" w14:textId="52563AF9" w:rsidR="57C619B4" w:rsidRDefault="5A3053FF" w:rsidP="222981CE">
            <w:pPr>
              <w:spacing w:before="60"/>
              <w:jc w:val="both"/>
              <w:rPr>
                <w:rFonts w:ascii="Arial" w:eastAsia="Arial" w:hAnsi="Arial" w:cs="Arial"/>
                <w:noProof/>
                <w:sz w:val="20"/>
                <w:szCs w:val="20"/>
              </w:rPr>
            </w:pPr>
            <w:r>
              <w:rPr>
                <w:rFonts w:ascii="Arial" w:hAnsi="Arial"/>
                <w:sz w:val="20"/>
              </w:rPr>
              <w:t>(OS2) stimuler la demande pour les produits européens bas carbone et les technologies «zéro net»;</w:t>
            </w:r>
          </w:p>
          <w:p w14:paraId="72687D12" w14:textId="6DB9AB05" w:rsidR="57C619B4" w:rsidRDefault="34CFC6C8" w:rsidP="222981CE">
            <w:pPr>
              <w:spacing w:before="60"/>
              <w:jc w:val="both"/>
              <w:rPr>
                <w:rFonts w:ascii="Arial" w:eastAsia="Arial" w:hAnsi="Arial" w:cs="Arial"/>
                <w:noProof/>
                <w:sz w:val="20"/>
                <w:szCs w:val="20"/>
              </w:rPr>
            </w:pPr>
            <w:r>
              <w:rPr>
                <w:rFonts w:ascii="Arial" w:hAnsi="Arial"/>
                <w:sz w:val="20"/>
              </w:rPr>
              <w:t>(OS3) optimiser la qualité et les avantages des investissements étrangers dans l’UE;</w:t>
            </w:r>
          </w:p>
          <w:p w14:paraId="3C08B5AD" w14:textId="37ABA188" w:rsidR="57C619B4" w:rsidRDefault="5A3053FF" w:rsidP="222981CE">
            <w:pPr>
              <w:spacing w:before="60"/>
              <w:jc w:val="both"/>
              <w:rPr>
                <w:rFonts w:ascii="Arial" w:eastAsia="Arial" w:hAnsi="Arial" w:cs="Arial"/>
                <w:noProof/>
                <w:sz w:val="20"/>
                <w:szCs w:val="20"/>
              </w:rPr>
            </w:pPr>
            <w:r>
              <w:rPr>
                <w:rFonts w:ascii="Arial" w:hAnsi="Arial"/>
                <w:sz w:val="20"/>
              </w:rPr>
              <w:t>(OS4) accélérer et simplifier les procédures d’octroi de permis pour la décarbonation industrielle;</w:t>
            </w:r>
          </w:p>
          <w:p w14:paraId="6AD57CAD" w14:textId="6E25D900" w:rsidR="0018785B" w:rsidRPr="00822323" w:rsidRDefault="716BCFE2" w:rsidP="00822323">
            <w:pPr>
              <w:spacing w:before="60" w:line="276" w:lineRule="auto"/>
              <w:rPr>
                <w:rFonts w:ascii="Arial" w:eastAsia="Arial" w:hAnsi="Arial" w:cs="Arial"/>
                <w:noProof/>
                <w:sz w:val="20"/>
                <w:szCs w:val="20"/>
              </w:rPr>
            </w:pPr>
            <w:r>
              <w:rPr>
                <w:rFonts w:ascii="Arial" w:hAnsi="Arial"/>
                <w:sz w:val="20"/>
              </w:rPr>
              <w:t>(OS5) augmenter le nombre de projets d’investissement dans les zones d’industrialisation prioritaire.</w:t>
            </w:r>
          </w:p>
        </w:tc>
      </w:tr>
      <w:tr w:rsidR="0018785B" w:rsidRPr="00501394" w14:paraId="6AD57CB0" w14:textId="77777777" w:rsidTr="37163261">
        <w:tc>
          <w:tcPr>
            <w:tcW w:w="10188" w:type="dxa"/>
            <w:tcBorders>
              <w:bottom w:val="single" w:sz="4" w:space="0" w:color="auto"/>
            </w:tcBorders>
            <w:shd w:val="clear" w:color="auto" w:fill="E6E6E6"/>
          </w:tcPr>
          <w:p w14:paraId="6AD57CAF" w14:textId="0E33A8A7" w:rsidR="0018785B" w:rsidRPr="00501394" w:rsidRDefault="0018785B" w:rsidP="00FA5A6C">
            <w:pPr>
              <w:spacing w:before="60" w:after="60"/>
              <w:jc w:val="both"/>
              <w:rPr>
                <w:rFonts w:ascii="Tahoma" w:hAnsi="Tahoma" w:cs="Tahoma"/>
                <w:noProof/>
                <w:sz w:val="20"/>
                <w:szCs w:val="20"/>
              </w:rPr>
            </w:pPr>
            <w:r>
              <w:rPr>
                <w:rFonts w:ascii="Tahoma" w:hAnsi="Tahoma"/>
                <w:b/>
                <w:sz w:val="20"/>
              </w:rPr>
              <w:t>Quelle est la valeur ajoutée d’une action à l’échelle de l’Union?</w:t>
            </w:r>
          </w:p>
        </w:tc>
      </w:tr>
      <w:tr w:rsidR="0018785B" w:rsidRPr="00555298" w14:paraId="6AD57CB5" w14:textId="77777777" w:rsidTr="37163261">
        <w:tc>
          <w:tcPr>
            <w:tcW w:w="10188" w:type="dxa"/>
            <w:tcBorders>
              <w:bottom w:val="single" w:sz="4" w:space="0" w:color="auto"/>
            </w:tcBorders>
          </w:tcPr>
          <w:p w14:paraId="6AD57CB4" w14:textId="0DCBF60C" w:rsidR="00517342" w:rsidRPr="005B1270" w:rsidRDefault="4389D92A" w:rsidP="22503CDF">
            <w:pPr>
              <w:jc w:val="both"/>
              <w:rPr>
                <w:rFonts w:ascii="Arial" w:eastAsia="Arial" w:hAnsi="Arial" w:cs="Arial"/>
                <w:noProof/>
                <w:sz w:val="20"/>
                <w:szCs w:val="20"/>
              </w:rPr>
            </w:pPr>
            <w:r>
              <w:rPr>
                <w:rFonts w:ascii="Arial" w:hAnsi="Arial"/>
                <w:sz w:val="20"/>
              </w:rPr>
              <w:t xml:space="preserve">Si les mesures nationales peuvent apporter une réponse partielle à ce défi, elles risquent de fragmenter le marché unique et de nuire à l’efficacité collective. Étant donné que les chaînes d’approvisionnement sont étroitement intégrées entre les États membres, une approche coordonnée au niveau de l’UE est essentielle pour favoriser la résilience, la décarbonation industrielle et l’égalité des conditions de concurrence. Une telle approche permet de réaliser des économies d’échelle, de proposer des solutions adaptées à l’ampleur du problème et d’éviter les inefficacités et les doubles emplois. </w:t>
            </w:r>
          </w:p>
        </w:tc>
      </w:tr>
    </w:tbl>
    <w:p w14:paraId="6AD57CB6" w14:textId="77777777" w:rsidR="0018785B" w:rsidRDefault="0018785B">
      <w:pPr>
        <w:rPr>
          <w:noProof/>
        </w:rPr>
      </w:pPr>
    </w:p>
    <w:tbl>
      <w:tblPr>
        <w:tblStyle w:val="TableGrid"/>
        <w:tblW w:w="10188" w:type="dxa"/>
        <w:tblLook w:val="01E0" w:firstRow="1" w:lastRow="1" w:firstColumn="1" w:lastColumn="1" w:noHBand="0" w:noVBand="0"/>
      </w:tblPr>
      <w:tblGrid>
        <w:gridCol w:w="10188"/>
      </w:tblGrid>
      <w:tr w:rsidR="0018785B" w:rsidRPr="00486AF3" w14:paraId="6AD57CB8" w14:textId="77777777" w:rsidTr="37163261">
        <w:tc>
          <w:tcPr>
            <w:tcW w:w="10188" w:type="dxa"/>
            <w:tcBorders>
              <w:bottom w:val="single" w:sz="4" w:space="0" w:color="auto"/>
            </w:tcBorders>
            <w:shd w:val="clear" w:color="auto" w:fill="CCCCCC"/>
          </w:tcPr>
          <w:p w14:paraId="6AD57CB7" w14:textId="77777777" w:rsidR="0018785B" w:rsidRPr="00FB0BF9" w:rsidRDefault="0018785B" w:rsidP="00FA5A6C">
            <w:pPr>
              <w:spacing w:before="60" w:after="60"/>
              <w:jc w:val="center"/>
              <w:rPr>
                <w:rFonts w:ascii="Tahoma" w:hAnsi="Tahoma" w:cs="Tahoma"/>
                <w:b/>
                <w:noProof/>
                <w:sz w:val="22"/>
                <w:szCs w:val="22"/>
              </w:rPr>
            </w:pPr>
            <w:r>
              <w:rPr>
                <w:rFonts w:ascii="Tahoma" w:hAnsi="Tahoma"/>
                <w:b/>
                <w:sz w:val="22"/>
              </w:rPr>
              <w:t>B. Solutions</w:t>
            </w:r>
          </w:p>
        </w:tc>
      </w:tr>
      <w:tr w:rsidR="0018785B" w:rsidRPr="00501394" w14:paraId="6AD57CBA" w14:textId="77777777" w:rsidTr="37163261">
        <w:tc>
          <w:tcPr>
            <w:tcW w:w="10188" w:type="dxa"/>
            <w:tcBorders>
              <w:bottom w:val="single" w:sz="4" w:space="0" w:color="auto"/>
            </w:tcBorders>
            <w:shd w:val="clear" w:color="auto" w:fill="E6E6E6"/>
          </w:tcPr>
          <w:p w14:paraId="6AD57CB9" w14:textId="5C51A2DE" w:rsidR="0018785B" w:rsidRPr="00FB0BF9" w:rsidRDefault="0018785B" w:rsidP="00FA5A6C">
            <w:pPr>
              <w:spacing w:before="60"/>
              <w:jc w:val="both"/>
              <w:rPr>
                <w:rFonts w:ascii="Tahoma" w:hAnsi="Tahoma" w:cs="Tahoma"/>
                <w:noProof/>
                <w:sz w:val="20"/>
                <w:szCs w:val="20"/>
              </w:rPr>
            </w:pPr>
            <w:r>
              <w:rPr>
                <w:rFonts w:ascii="Tahoma" w:hAnsi="Tahoma"/>
                <w:b/>
                <w:sz w:val="20"/>
              </w:rPr>
              <w:t>Quelles sont les options législatives et non législatives envisagées? Y a-t-il une option privilégiée? Pourquoi?</w:t>
            </w:r>
            <w:r>
              <w:rPr>
                <w:rFonts w:ascii="Tahoma" w:hAnsi="Tahoma"/>
                <w:sz w:val="20"/>
              </w:rPr>
              <w:t xml:space="preserve"> </w:t>
            </w:r>
          </w:p>
        </w:tc>
      </w:tr>
      <w:tr w:rsidR="0018785B" w:rsidRPr="00B230F2" w14:paraId="6AD57CC4" w14:textId="77777777" w:rsidTr="37163261">
        <w:trPr>
          <w:trHeight w:val="8490"/>
        </w:trPr>
        <w:tc>
          <w:tcPr>
            <w:tcW w:w="10188" w:type="dxa"/>
            <w:tcBorders>
              <w:bottom w:val="single" w:sz="4" w:space="0" w:color="auto"/>
            </w:tcBorders>
          </w:tcPr>
          <w:p w14:paraId="6AD57CBC" w14:textId="09D42265" w:rsidR="0018785B" w:rsidRPr="00FB0BF9" w:rsidRDefault="6814D272" w:rsidP="00FA5A6C">
            <w:pPr>
              <w:jc w:val="both"/>
              <w:rPr>
                <w:rFonts w:ascii="Arial" w:hAnsi="Arial" w:cs="Arial"/>
                <w:noProof/>
                <w:sz w:val="20"/>
                <w:szCs w:val="20"/>
              </w:rPr>
            </w:pPr>
            <w:r>
              <w:rPr>
                <w:rFonts w:ascii="Arial" w:hAnsi="Arial"/>
                <w:sz w:val="20"/>
              </w:rPr>
              <w:lastRenderedPageBreak/>
              <w:t xml:space="preserve">Les options sont regroupées en trois grandes catégories de mesures, chaque mesure correspondant à un objectif spécifique (OS). </w:t>
            </w:r>
          </w:p>
          <w:p w14:paraId="7C8D2FDA" w14:textId="2CD42A82" w:rsidR="6F8D6A09" w:rsidRDefault="4EA4C963" w:rsidP="728FB6AB">
            <w:pPr>
              <w:spacing w:before="240" w:after="240"/>
              <w:jc w:val="both"/>
              <w:rPr>
                <w:rFonts w:ascii="Arial" w:hAnsi="Arial" w:cs="Arial"/>
                <w:noProof/>
                <w:sz w:val="20"/>
                <w:szCs w:val="20"/>
              </w:rPr>
            </w:pPr>
            <w:r>
              <w:rPr>
                <w:rFonts w:ascii="Arial" w:hAnsi="Arial"/>
                <w:b/>
                <w:sz w:val="20"/>
              </w:rPr>
              <w:t>L’option nº 1</w:t>
            </w:r>
            <w:r>
              <w:rPr>
                <w:rFonts w:ascii="Arial" w:hAnsi="Arial"/>
                <w:sz w:val="20"/>
              </w:rPr>
              <w:t xml:space="preserve"> prévoit, dans le cadre de l’OS1, un système d’étiquetage de l’intensité de carbone pour les secteurs grands consommateurs d’énergie. L’OS2 vise à créer des marchés pilotes en intégrant des exigences en matière de faibles émissions de carbone pour les matériaux à forte intensité énergétique (acier, ciment et aluminium) utilisés dans certains secteurs en aval (automobile et construction) dans le cadre de marchés publics et de régimes de soutien. Cet objectif spécifique prévoit également l’introduction d’exigences en matière de fabrication dans l’UE pour les batteries, les panneaux solaires et les composants de véhicules dans le cadre de marchés publics et de régimes de soutien. L’OS3 fournit des orientations sur les conditions facultatives applicables aux investissements directs étrangers dans la chaîne d’approvisionnement des batteries. Afin de rationaliser les procédures d’octroi de permis, l’OS4 préconise une procédure numérique unifiée pour tous les permis, applicable à l’ensemble de l’industrie manufacturière. L’OS5 invite les États membres à faciliter le financement public des projets prioritaires dans les zones d’industrialisation prioritaire.</w:t>
            </w:r>
          </w:p>
          <w:p w14:paraId="6C59DFCE" w14:textId="38EA1789" w:rsidR="0018785B" w:rsidRPr="00FB0BF9" w:rsidRDefault="1F43DF5C">
            <w:pPr>
              <w:spacing w:before="240" w:after="240"/>
              <w:jc w:val="both"/>
              <w:rPr>
                <w:rFonts w:ascii="Arial" w:hAnsi="Arial" w:cs="Arial"/>
                <w:noProof/>
                <w:sz w:val="20"/>
                <w:szCs w:val="20"/>
              </w:rPr>
            </w:pPr>
            <w:r>
              <w:rPr>
                <w:rFonts w:ascii="Arial" w:hAnsi="Arial"/>
                <w:b/>
                <w:sz w:val="20"/>
              </w:rPr>
              <w:t>L’option nº 2</w:t>
            </w:r>
            <w:r>
              <w:rPr>
                <w:rFonts w:ascii="Arial" w:hAnsi="Arial"/>
                <w:sz w:val="20"/>
              </w:rPr>
              <w:t xml:space="preserve"> se base sur la première option en élargissant son champ d’application et ses exigences. L’OS1 impose un étiquetage spécifique de l’intensité de carbone pour l’acier, assorti de règles détaillées qui pourront ultérieurement être étendues à d’autres matériaux à forte intensité énergétique. En ce qui concerne les marchés pilotes (OS2), des exigences en matière de faible intensité de carbone et de fabrication dans l’UE sont introduites pour l’acier, le ciment et l’aluminium utilisés dans certains secteurs en aval (automobile et construction) dans le cadre de marchés publics et de régimes de soutien. Les conditions applicables à certains investissements dans le cadre de l’OS3 sont obligatoires plutôt que facultatives. L’OS4 permet de renforcer le soutien apporté au processus d’octroi de permis en introduisant des mesures supplémentaires destinées aux IGCE. Enfin, l’OS5 requiert, et non recommande, que les États membres désignent des zones d’industrialisation prioritaire.</w:t>
            </w:r>
          </w:p>
          <w:p w14:paraId="6AD57CBE" w14:textId="12B4937A" w:rsidR="0018785B" w:rsidRPr="00FB0BF9" w:rsidRDefault="0B1867F6" w:rsidP="728FB6AB">
            <w:pPr>
              <w:spacing w:before="240" w:after="240"/>
              <w:jc w:val="both"/>
              <w:rPr>
                <w:rFonts w:ascii="Arial" w:eastAsia="Arial" w:hAnsi="Arial" w:cs="Arial"/>
                <w:noProof/>
                <w:sz w:val="20"/>
                <w:szCs w:val="20"/>
              </w:rPr>
            </w:pPr>
            <w:r>
              <w:rPr>
                <w:rFonts w:ascii="Arial" w:hAnsi="Arial"/>
                <w:b/>
                <w:sz w:val="20"/>
              </w:rPr>
              <w:t>L’option nº 3</w:t>
            </w:r>
            <w:r>
              <w:rPr>
                <w:rFonts w:ascii="Arial" w:hAnsi="Arial"/>
                <w:sz w:val="20"/>
              </w:rPr>
              <w:t xml:space="preserve"> élargit encore davantage les deux options précédentes. L’OS2 sur les marchés pilotes étend les exigences en matière de faible intensité de carbone et de fabrication dans l’UE à l’acier, au ciment et à l’aluminium utilisés dans les secteurs en aval désignés, à savoir le secteur automobile et les produits de construction mis sur le marché. Il étend également les exigences en matière de fabrication dans l’UE aux batteries, aux panneaux solaires et aux composants de véhicules à l’ensemble des produits mis sur le marché. L’OS3 prévoit des mesures spécifiques pour les zones d’industrialisation prioritaire. L’OS5 exige de la Commission qu’elle désigne des zones d’industrialisation prioritaire selon des critères de sélection et qu’elle accorde aux projets prioritaires l’accès aux fonds. </w:t>
            </w:r>
          </w:p>
          <w:p w14:paraId="6AD57CC3" w14:textId="49CC29FF" w:rsidR="00F854FF" w:rsidRPr="008D43AA" w:rsidRDefault="236C3B3A" w:rsidP="003A6980">
            <w:pPr>
              <w:spacing w:before="60" w:after="240"/>
              <w:jc w:val="both"/>
              <w:rPr>
                <w:rFonts w:ascii="Arial" w:eastAsia="Arial" w:hAnsi="Arial" w:cs="Arial"/>
                <w:noProof/>
                <w:color w:val="000000" w:themeColor="text1"/>
                <w:sz w:val="20"/>
                <w:szCs w:val="20"/>
              </w:rPr>
            </w:pPr>
            <w:r>
              <w:rPr>
                <w:rFonts w:ascii="Arial" w:hAnsi="Arial"/>
                <w:sz w:val="20"/>
              </w:rPr>
              <w:t xml:space="preserve">Après avoir analysé les incidences de chaque option, ainsi que leur capacité à atteindre les objectifs fixés et leur interaction avec les initiatives de l’UE existantes et prévues, l’analyse d’impact conclut que l’option nº 2 est l’option privilégiée. Dans l’ensemble, l’option nº 2 permet d’atteindre les objectifs de la manière la plus efficace et la plus efficiente (les écarts en termes de rapport coût-efficacité par rapport à l’option nº 1 étant minimes) et contribue à l’efficacité administrative et opérationnelle. En ce qui concerne les éléments quantifiés, l’option nº 2 génère des avantages nets globaux supérieurs à ceux de l’option nº 3, mais légèrement inférieurs à ceux de l’option nº 1; les coûts estimés devraient être compensés par les avantages à long terme liés à la sécurité économique et à la résilience. Toutefois, une partie des conséquences, positives comme négatives, sur les secteurs en aval et les chaînes d’approvisionnement n’a pas pu être quantifiée en raison d’un manque de données. Dans l’ensemble, l’option nº 2 facilite la justification économique et incite à la prise de décisions d’investissement dans l’UE en simplifiant les procédures d’octroi de permis pour l’ensemble de l’industrie manufacturière, en stimulant la demande de matériaux décarbonés et de produits de technologies «zéro net» dans les chaînes de valeur stratégiques, et en garantissant un cadre d’investissement propice à la création de valeur ajoutée dans l’UE. En outre, l’option nº 2 permettra de limiter plus efficacement les risques de perturbations de la chaîne d’approvisionnement et de restrictions à l’importation imposées par des pays tiers, ce qui est essentiel pour préserver la sécurité économique de l’Union, qui subirait des pertes considérables en cas de chocs systémiques de ce type. La prévisibilité, l’accès aux intrants et des chaînes d’approvisionnement solides sont essentiels à la compétitivité et au bon fonctionnement de l’industrie de l’UE. Parmi les autres avantages, on peut citer, entre autres, la création d’emplois et la croissance en amont de la valeur ajoutée brute, ce qui contribue à une plus grande stabilité économique et sociale dans l’ensemble. </w:t>
            </w:r>
            <w:r>
              <w:rPr>
                <w:rFonts w:ascii="Arial" w:hAnsi="Arial"/>
                <w:color w:val="000000" w:themeColor="text1"/>
                <w:sz w:val="20"/>
              </w:rPr>
              <w:t>Cette approche offre le meilleur équilibre entre efficacité et efficience, ainsi qu’entre cohérence et proportionnalité.</w:t>
            </w:r>
          </w:p>
        </w:tc>
      </w:tr>
      <w:tr w:rsidR="0018785B" w:rsidRPr="00B230F2" w14:paraId="6AD57CC6" w14:textId="77777777" w:rsidTr="37163261">
        <w:tc>
          <w:tcPr>
            <w:tcW w:w="10188" w:type="dxa"/>
            <w:shd w:val="clear" w:color="auto" w:fill="CCCCCC"/>
          </w:tcPr>
          <w:p w14:paraId="6AD57CC5" w14:textId="13F95A46" w:rsidR="0018785B" w:rsidRPr="00FB0BF9" w:rsidRDefault="0018785B" w:rsidP="00FA5A6C">
            <w:pPr>
              <w:spacing w:before="60"/>
              <w:jc w:val="both"/>
              <w:rPr>
                <w:rFonts w:ascii="Tahoma" w:hAnsi="Tahoma" w:cs="Tahoma"/>
                <w:noProof/>
                <w:sz w:val="20"/>
                <w:szCs w:val="20"/>
              </w:rPr>
            </w:pPr>
            <w:r>
              <w:rPr>
                <w:rFonts w:ascii="Tahoma" w:hAnsi="Tahoma"/>
                <w:b/>
                <w:sz w:val="20"/>
              </w:rPr>
              <w:t>Qui soutient quelle option?</w:t>
            </w:r>
            <w:r>
              <w:rPr>
                <w:rFonts w:ascii="Tahoma" w:hAnsi="Tahoma"/>
                <w:sz w:val="20"/>
              </w:rPr>
              <w:t xml:space="preserve"> </w:t>
            </w:r>
          </w:p>
        </w:tc>
      </w:tr>
      <w:tr w:rsidR="0018785B" w:rsidRPr="00B230F2" w14:paraId="6AD57CCE" w14:textId="77777777" w:rsidTr="37163261">
        <w:tc>
          <w:tcPr>
            <w:tcW w:w="10188" w:type="dxa"/>
          </w:tcPr>
          <w:p w14:paraId="77BAAC47" w14:textId="7D7EFD20" w:rsidR="0018785B" w:rsidRPr="00131EE1" w:rsidRDefault="0ADF0D79" w:rsidP="0BC7573B">
            <w:pPr>
              <w:jc w:val="both"/>
              <w:rPr>
                <w:rFonts w:ascii="Arial" w:eastAsia="Arial" w:hAnsi="Arial" w:cs="Arial"/>
                <w:noProof/>
                <w:sz w:val="20"/>
                <w:szCs w:val="20"/>
              </w:rPr>
            </w:pPr>
            <w:r>
              <w:rPr>
                <w:rFonts w:ascii="Arial" w:hAnsi="Arial"/>
                <w:sz w:val="20"/>
              </w:rPr>
              <w:lastRenderedPageBreak/>
              <w:t>Une consultation publique ouverte ainsi que plusieurs consultations ciblées ont été organisées afin de recueillir les retours d’information de toutes les parties prenantes concernées. Dans l’ensemble, l’industrie s’est montrée favorable à cette initiative et aux dispositions visant à faciliter les procédures d’octroi de permis pour les projets de fabrication industrielle. Le secteur sidérurgique est favorable à la mise en place d’un étiquetage, mais s’interroge sur certains de ses paramètres et sur la conception du système de classification. Les secteurs sidérurgique, du ciment et de l’aluminium, ainsi que les fabricants de panneaux solaires, de batteries et de composants de véhicules devraient bénéficier directement du règlement relatif à l’accélération des capacités industrielles et se sont déclarés favorables aux exigences en matière de fabrication dans l’UE et de contenu minimal originaire de l’UE, destinées à soutenir la création de marchés européens pilotes pour les produits industriels bas carbone et les technologies «zéro net». Toutefois, d’autres industries de l’UE pourraient avoir des points de vue différents concernant l’introduction de ces exigences. En revanche, les avis des pouvoirs publics étaient partagés, notamment en ce qui concerne les dispositions relatives aux permis visés par les options nº 2 et nº 3, en particulier ceux relatifs aux marchés pilotes, car cela alourdirait leur charge administrative.</w:t>
            </w:r>
          </w:p>
          <w:p w14:paraId="6AD57CCD" w14:textId="45481201" w:rsidR="0018785B" w:rsidRPr="00131EE1" w:rsidRDefault="0018785B">
            <w:pPr>
              <w:jc w:val="both"/>
              <w:rPr>
                <w:rFonts w:ascii="Arial" w:eastAsia="Arial" w:hAnsi="Arial" w:cs="Arial"/>
                <w:noProof/>
                <w:sz w:val="20"/>
                <w:szCs w:val="20"/>
              </w:rPr>
            </w:pPr>
          </w:p>
        </w:tc>
      </w:tr>
      <w:tr w:rsidR="0018785B" w:rsidRPr="00486AF3" w14:paraId="6AD57CD0" w14:textId="77777777" w:rsidTr="37163261">
        <w:tc>
          <w:tcPr>
            <w:tcW w:w="10188" w:type="dxa"/>
            <w:tcBorders>
              <w:bottom w:val="single" w:sz="4" w:space="0" w:color="auto"/>
            </w:tcBorders>
            <w:shd w:val="clear" w:color="auto" w:fill="CCCCCC"/>
          </w:tcPr>
          <w:p w14:paraId="6AD57CCF" w14:textId="77777777" w:rsidR="0018785B" w:rsidRPr="00FB0BF9" w:rsidRDefault="0018785B" w:rsidP="00FA5A6C">
            <w:pPr>
              <w:spacing w:before="60" w:after="60"/>
              <w:jc w:val="center"/>
              <w:rPr>
                <w:rFonts w:ascii="Tahoma" w:hAnsi="Tahoma" w:cs="Tahoma"/>
                <w:b/>
                <w:noProof/>
                <w:sz w:val="22"/>
                <w:szCs w:val="22"/>
              </w:rPr>
            </w:pPr>
            <w:r>
              <w:rPr>
                <w:rFonts w:ascii="Tahoma" w:hAnsi="Tahoma"/>
                <w:b/>
                <w:sz w:val="22"/>
              </w:rPr>
              <w:t>C. Incidences de l’option privilégiée</w:t>
            </w:r>
          </w:p>
        </w:tc>
      </w:tr>
      <w:tr w:rsidR="0018785B" w:rsidRPr="00501394" w14:paraId="6AD57CD2" w14:textId="77777777" w:rsidTr="37163261">
        <w:tc>
          <w:tcPr>
            <w:tcW w:w="10188" w:type="dxa"/>
            <w:tcBorders>
              <w:bottom w:val="single" w:sz="4" w:space="0" w:color="auto"/>
            </w:tcBorders>
            <w:shd w:val="clear" w:color="auto" w:fill="E6E6E6"/>
          </w:tcPr>
          <w:p w14:paraId="6AD57CD1" w14:textId="069187C1" w:rsidR="0018785B" w:rsidRPr="00FB0BF9" w:rsidRDefault="0018785B" w:rsidP="00FA5A6C">
            <w:pPr>
              <w:spacing w:before="60" w:after="60"/>
              <w:jc w:val="both"/>
              <w:rPr>
                <w:rFonts w:ascii="Tahoma" w:hAnsi="Tahoma" w:cs="Tahoma"/>
                <w:noProof/>
                <w:sz w:val="20"/>
                <w:szCs w:val="20"/>
              </w:rPr>
            </w:pPr>
            <w:r>
              <w:rPr>
                <w:rFonts w:ascii="Tahoma" w:hAnsi="Tahoma"/>
                <w:b/>
                <w:sz w:val="20"/>
              </w:rPr>
              <w:t>Quels sont les avantages de l’option privilégiée (ou, à défaut, des options principales)?</w:t>
            </w:r>
            <w:r>
              <w:rPr>
                <w:rFonts w:ascii="Tahoma" w:hAnsi="Tahoma"/>
                <w:sz w:val="20"/>
              </w:rPr>
              <w:t xml:space="preserve"> </w:t>
            </w:r>
          </w:p>
        </w:tc>
      </w:tr>
      <w:tr w:rsidR="0018785B" w:rsidRPr="00B230F2" w14:paraId="6AD57CDF" w14:textId="77777777" w:rsidTr="37163261">
        <w:trPr>
          <w:trHeight w:val="300"/>
        </w:trPr>
        <w:tc>
          <w:tcPr>
            <w:tcW w:w="10188" w:type="dxa"/>
            <w:tcBorders>
              <w:bottom w:val="single" w:sz="4" w:space="0" w:color="auto"/>
            </w:tcBorders>
          </w:tcPr>
          <w:p w14:paraId="6AD57CDE" w14:textId="6E3BF0FD" w:rsidR="0018785B" w:rsidRPr="00FB0BF9" w:rsidRDefault="0F9EC65E">
            <w:pPr>
              <w:jc w:val="both"/>
              <w:rPr>
                <w:rFonts w:ascii="Arial" w:hAnsi="Arial" w:cs="Arial"/>
                <w:noProof/>
                <w:sz w:val="20"/>
                <w:szCs w:val="20"/>
              </w:rPr>
            </w:pPr>
            <w:r>
              <w:rPr>
                <w:rFonts w:ascii="Arial" w:hAnsi="Arial"/>
                <w:sz w:val="20"/>
              </w:rPr>
              <w:t>L’option nº 2 devrait générer des retombées économiques pour les industries ciblées et les secteurs des technologies «zéro net» en stimulant la demande pour les produits industriels européens bas carbone, ainsi que pour les batteries, les panneaux solaires et les composants de véhicules. À titre d’exemple, on prévoit une augmentation de la VAB d’environ 445 millions d’EUR pour l’industrie du ciment et de 241 millions d’EUR pour les secteurs sidérurgique et de l’aluminium en 2030. En outre, l’ensemble de la chaîne de valeur du secteur automobile électrique, y compris les intrants intermédiaires, devrait enregistrer une augmentation de la valeur ajoutée d’environ 10,5 milliards d’EUR après l’entrée en vigueur des mesures relatives aux composants de véhicules. Les industries manufacturières tireront également profit des gains de temps et des économies de coûts liés aux dispositions relatives aux permis électroniques, qui pourraient atteindre jusqu’à 240 millions d’EUR grâce à la numérisation des procédures d’octroi de permis. Parmi les avantages pour l’industrie, on peut citer les perspectives d’emploi. On estime par exemple que la mise en place de dispositions relatives aux marchés pilotes permettra de créer et de préserver 148 352 emplois en 2030. Enfin, le règlement relatif à l’accélération des capacités industrielles contribuera à la réalisation des objectifs climatiques de l’UE en accélérant les projets de décarbonation, ce qui devrait permettre une réduction des émissions de GES estimée à 30,58 millions de tonnes équivalent CO</w:t>
            </w:r>
            <w:r>
              <w:rPr>
                <w:rFonts w:ascii="Arial" w:hAnsi="Arial"/>
                <w:sz w:val="20"/>
                <w:vertAlign w:val="subscript"/>
              </w:rPr>
              <w:t>2</w:t>
            </w:r>
            <w:r>
              <w:rPr>
                <w:rFonts w:ascii="Arial" w:hAnsi="Arial"/>
                <w:sz w:val="20"/>
              </w:rPr>
              <w:t xml:space="preserve"> pour l’option nº 2 rien qu’en 2030, soit une économie d’environ 3 058 millions d’EUR.</w:t>
            </w:r>
          </w:p>
        </w:tc>
      </w:tr>
    </w:tbl>
    <w:p w14:paraId="6AD57CE0" w14:textId="77777777" w:rsidR="0018785B" w:rsidRDefault="0018785B" w:rsidP="00FB0BF9">
      <w:pPr>
        <w:widowControl w:val="0"/>
        <w:rPr>
          <w:noProof/>
        </w:rPr>
      </w:pPr>
    </w:p>
    <w:tbl>
      <w:tblPr>
        <w:tblStyle w:val="TableGrid"/>
        <w:tblW w:w="10188" w:type="dxa"/>
        <w:tblLook w:val="01E0" w:firstRow="1" w:lastRow="1" w:firstColumn="1" w:lastColumn="1" w:noHBand="0" w:noVBand="0"/>
      </w:tblPr>
      <w:tblGrid>
        <w:gridCol w:w="10188"/>
      </w:tblGrid>
      <w:tr w:rsidR="0018785B" w:rsidRPr="00501394" w14:paraId="6AD57CE2" w14:textId="77777777" w:rsidTr="37163261">
        <w:tc>
          <w:tcPr>
            <w:tcW w:w="10188" w:type="dxa"/>
            <w:tcBorders>
              <w:bottom w:val="single" w:sz="4" w:space="0" w:color="auto"/>
            </w:tcBorders>
            <w:shd w:val="clear" w:color="auto" w:fill="E6E6E6"/>
          </w:tcPr>
          <w:p w14:paraId="6AD57CE1" w14:textId="6F424F3B" w:rsidR="0018785B" w:rsidRPr="005A1A34" w:rsidRDefault="0018785B" w:rsidP="00FA5A6C">
            <w:pPr>
              <w:spacing w:before="60" w:after="60"/>
              <w:jc w:val="both"/>
              <w:rPr>
                <w:rFonts w:ascii="Tahoma" w:hAnsi="Tahoma" w:cs="Tahoma"/>
                <w:noProof/>
                <w:sz w:val="20"/>
                <w:szCs w:val="20"/>
              </w:rPr>
            </w:pPr>
            <w:r>
              <w:rPr>
                <w:rFonts w:ascii="Tahoma" w:hAnsi="Tahoma"/>
                <w:b/>
                <w:sz w:val="20"/>
              </w:rPr>
              <w:t>Quels sont les coûts de l’option privilégiée (ou, à défaut, des options principales)?</w:t>
            </w:r>
            <w:r>
              <w:rPr>
                <w:rFonts w:ascii="Tahoma" w:hAnsi="Tahoma"/>
                <w:sz w:val="20"/>
              </w:rPr>
              <w:t xml:space="preserve"> </w:t>
            </w:r>
          </w:p>
        </w:tc>
      </w:tr>
      <w:tr w:rsidR="0018785B" w:rsidRPr="00B230F2" w14:paraId="6AD57CED" w14:textId="77777777" w:rsidTr="37163261">
        <w:tc>
          <w:tcPr>
            <w:tcW w:w="10188" w:type="dxa"/>
            <w:tcBorders>
              <w:bottom w:val="single" w:sz="4" w:space="0" w:color="auto"/>
            </w:tcBorders>
          </w:tcPr>
          <w:p w14:paraId="4F061CF7" w14:textId="3873F40E" w:rsidR="0018785B" w:rsidRDefault="1244932B">
            <w:pPr>
              <w:jc w:val="both"/>
              <w:rPr>
                <w:rFonts w:ascii="Arial" w:hAnsi="Arial" w:cs="Arial"/>
                <w:noProof/>
                <w:sz w:val="20"/>
                <w:szCs w:val="20"/>
              </w:rPr>
            </w:pPr>
            <w:r>
              <w:rPr>
                <w:rFonts w:ascii="Arial" w:hAnsi="Arial"/>
                <w:sz w:val="20"/>
              </w:rPr>
              <w:t xml:space="preserve">Les secteurs en aval devront faire face à une hausse des coûts de production en raison des conditions imposées par le marché pilote. Les coûts d’ajustement que devront supporter les équipementiers automobiles pour se conformer aux exigences en matière de faibles émissions de carbone et de fabrication dans l’UE pourraient entraîner une perte de VAB de 291 millions d’EUR, tandis que le secteur de la construction pourrait subir une perte de VAB de 691 millions d’EUR. Par exemple, le prix d’un véhicule pourrait augmenter de 0,225 % (69,27 EUR) en raison des dispositions relatives à l’acier bas carbone et à l’aluminium, et celui d’une voiture électrique de particulier de 2,2 % (630 EUR) en raison des exigences en matière de fabrication dans l’UE pour les batteries en 2030. Le coût de construction d’un bâtiment devrait augmenter de 0,45 % en raison de l’utilisation de produits bas carbone tels que l’acier, l’aluminium et le ciment. Les exigences en matière de fabrication dans l’UE pour les panneaux solaires et les batteries entraîneront également une hausse des coûts pour l’ensemble des consommateurs, estimée à 685 millions d’EUR pour les panneaux solaires et à 2 338 millions d’EUR pour les systèmes stationnaires de stockage d’énergie par batterie (BESS) et les véhicules électriques. Les marchés publics et les subventions pourraient couvrir une part importante de ces coûts, réduisant ainsi leur incidence financière sur les citoyens. Les entreprises devront faire face à des coûts administratifs récurrents, liés principalement au respect des dispositions relatives aux marchés pilotes, s’élevant à environ 1,2 million d’EUR pour l’option nº 2, qui pourraient être compensés par les économies réalisées grâce à la numérisation. Ces coûts supplémentaires diminueront à moyen terme, à mesure que les coûts de production baisseront grâce aux économies d’échelle et que la parité des coûts avec les produits à forte intensité de carbone sera atteinte. </w:t>
            </w:r>
          </w:p>
          <w:p w14:paraId="6AD57CEC" w14:textId="5B2975CC" w:rsidR="002C595E" w:rsidRPr="00A9203B" w:rsidRDefault="002C595E">
            <w:pPr>
              <w:jc w:val="both"/>
              <w:rPr>
                <w:rFonts w:ascii="Arial" w:hAnsi="Arial" w:cs="Arial"/>
                <w:noProof/>
                <w:sz w:val="20"/>
                <w:szCs w:val="20"/>
              </w:rPr>
            </w:pPr>
          </w:p>
        </w:tc>
      </w:tr>
      <w:tr w:rsidR="0018785B" w:rsidRPr="00501394" w14:paraId="6AD57CEF" w14:textId="77777777" w:rsidTr="37163261">
        <w:tc>
          <w:tcPr>
            <w:tcW w:w="10188" w:type="dxa"/>
            <w:tcBorders>
              <w:bottom w:val="single" w:sz="4" w:space="0" w:color="auto"/>
            </w:tcBorders>
            <w:shd w:val="clear" w:color="auto" w:fill="E6E6E6"/>
          </w:tcPr>
          <w:p w14:paraId="6AD57CEE" w14:textId="2F944D03" w:rsidR="0018785B" w:rsidRPr="005A1A34" w:rsidRDefault="0018785B" w:rsidP="125C8194">
            <w:pPr>
              <w:spacing w:before="60" w:after="60"/>
              <w:jc w:val="both"/>
              <w:rPr>
                <w:rFonts w:ascii="Tahoma" w:hAnsi="Tahoma" w:cs="Tahoma"/>
                <w:noProof/>
                <w:sz w:val="20"/>
                <w:szCs w:val="20"/>
                <w:highlight w:val="yellow"/>
                <w:u w:val="single"/>
              </w:rPr>
            </w:pPr>
            <w:r>
              <w:rPr>
                <w:rFonts w:ascii="Tahoma" w:hAnsi="Tahoma"/>
                <w:b/>
                <w:sz w:val="20"/>
              </w:rPr>
              <w:t xml:space="preserve">Quelle sera l’incidence sur les entreprises, les PME et les microentreprises? </w:t>
            </w:r>
          </w:p>
        </w:tc>
      </w:tr>
      <w:tr w:rsidR="0018785B" w:rsidRPr="00B230F2" w14:paraId="6AD57CF4" w14:textId="77777777" w:rsidTr="37163261">
        <w:tc>
          <w:tcPr>
            <w:tcW w:w="10188" w:type="dxa"/>
            <w:tcBorders>
              <w:bottom w:val="single" w:sz="4" w:space="0" w:color="auto"/>
            </w:tcBorders>
          </w:tcPr>
          <w:p w14:paraId="61E569D5" w14:textId="03DD4840" w:rsidR="0018785B" w:rsidRPr="00A9203B" w:rsidRDefault="6B8ACDCB" w:rsidP="002C595E">
            <w:pPr>
              <w:jc w:val="both"/>
              <w:rPr>
                <w:rFonts w:ascii="Arial" w:hAnsi="Arial" w:cs="Arial"/>
                <w:noProof/>
                <w:sz w:val="20"/>
                <w:szCs w:val="20"/>
              </w:rPr>
            </w:pPr>
            <w:r>
              <w:rPr>
                <w:rFonts w:ascii="Arial" w:hAnsi="Arial"/>
                <w:sz w:val="20"/>
              </w:rPr>
              <w:t xml:space="preserve">Les entreprises de toutes tailles issues des secteurs ciblés tireront profit de l’élargissement du marché des produits bas carbone et bénéficieront des économies de temps et d’argent liées à une procédure d’octroi de permis plus </w:t>
            </w:r>
            <w:r>
              <w:rPr>
                <w:rFonts w:ascii="Arial" w:hAnsi="Arial"/>
                <w:sz w:val="20"/>
              </w:rPr>
              <w:lastRenderedPageBreak/>
              <w:t xml:space="preserve">rapide et simplifiée. Les consultations menées auprès des acteurs de l’industrie ont révélé que les PME sont confrontées à des difficultés plus importantes en matière d’octroi de permis en raison de ressources administratives limitées. Toutefois, les entreprises des secteurs en aval, tels que les secteurs automobile et de la construction, pourraient devoir supporter des coûts supplémentaires (voir ci-dessus les coûts de l’option privilégiée) liés aux exigences en matière de faibles émissions de carbone et/ou de contenu originaire de l’UE, y compris une augmentation des coûts des matériaux. Cette augmentation des coûts pour les secteurs en aval, aussi minime soit-elle, sera davantage ressentie par les PME. </w:t>
            </w:r>
          </w:p>
          <w:p w14:paraId="79BCF2DF" w14:textId="77777777" w:rsidR="0018785B" w:rsidRDefault="40123335" w:rsidP="002C595E">
            <w:pPr>
              <w:jc w:val="both"/>
              <w:rPr>
                <w:rFonts w:ascii="Arial" w:hAnsi="Arial" w:cs="Arial"/>
                <w:noProof/>
                <w:sz w:val="20"/>
                <w:szCs w:val="20"/>
              </w:rPr>
            </w:pPr>
            <w:r>
              <w:rPr>
                <w:rFonts w:ascii="Arial" w:hAnsi="Arial"/>
                <w:sz w:val="20"/>
              </w:rPr>
              <w:t>Plus concrètement, les mesures relatives aux marchés pilotes sont susceptibles d’augmenter les coûts administratifs liés à la déclaration de conformité, lorsque les mesures d’atténuation envisagées dans la proposition ne suffisent pas.</w:t>
            </w:r>
          </w:p>
          <w:p w14:paraId="6AD57CF3" w14:textId="7B4040F3" w:rsidR="002C595E" w:rsidRPr="00A9203B" w:rsidRDefault="002C595E" w:rsidP="002C595E">
            <w:pPr>
              <w:jc w:val="both"/>
              <w:rPr>
                <w:rFonts w:ascii="Arial" w:hAnsi="Arial" w:cs="Arial"/>
                <w:noProof/>
                <w:sz w:val="20"/>
                <w:szCs w:val="20"/>
              </w:rPr>
            </w:pPr>
          </w:p>
        </w:tc>
      </w:tr>
      <w:tr w:rsidR="0018785B" w:rsidRPr="00501394" w14:paraId="6AD57CF6" w14:textId="77777777" w:rsidTr="37163261">
        <w:tc>
          <w:tcPr>
            <w:tcW w:w="10188" w:type="dxa"/>
            <w:tcBorders>
              <w:bottom w:val="single" w:sz="4" w:space="0" w:color="auto"/>
            </w:tcBorders>
            <w:shd w:val="clear" w:color="auto" w:fill="E6E6E6"/>
          </w:tcPr>
          <w:p w14:paraId="6AD57CF5" w14:textId="2A2CB8E4" w:rsidR="0018785B" w:rsidRPr="003D39F6" w:rsidRDefault="0018785B" w:rsidP="125C8194">
            <w:pPr>
              <w:spacing w:before="60"/>
              <w:jc w:val="both"/>
              <w:rPr>
                <w:rFonts w:ascii="Tahoma" w:hAnsi="Tahoma" w:cs="Tahoma"/>
                <w:noProof/>
                <w:sz w:val="20"/>
                <w:szCs w:val="20"/>
                <w:highlight w:val="yellow"/>
                <w:u w:val="single"/>
              </w:rPr>
            </w:pPr>
            <w:r>
              <w:rPr>
                <w:rFonts w:ascii="Tahoma" w:hAnsi="Tahoma"/>
                <w:b/>
                <w:sz w:val="20"/>
              </w:rPr>
              <w:lastRenderedPageBreak/>
              <w:t>Y aura-t-il une incidence notable</w:t>
            </w:r>
            <w:r>
              <w:rPr>
                <w:rFonts w:ascii="Tahoma" w:hAnsi="Tahoma"/>
                <w:sz w:val="20"/>
              </w:rPr>
              <w:t xml:space="preserve"> </w:t>
            </w:r>
            <w:r>
              <w:rPr>
                <w:rFonts w:ascii="Tahoma" w:hAnsi="Tahoma"/>
                <w:b/>
                <w:sz w:val="20"/>
              </w:rPr>
              <w:t>sur les budgets nationaux et les administrations nationales?</w:t>
            </w:r>
            <w:r>
              <w:rPr>
                <w:rFonts w:ascii="Tahoma" w:hAnsi="Tahoma"/>
                <w:sz w:val="20"/>
              </w:rPr>
              <w:t xml:space="preserve"> </w:t>
            </w:r>
          </w:p>
        </w:tc>
      </w:tr>
      <w:tr w:rsidR="0018785B" w:rsidRPr="00B230F2" w14:paraId="6AD57CFA" w14:textId="77777777" w:rsidTr="37163261">
        <w:trPr>
          <w:trHeight w:val="480"/>
        </w:trPr>
        <w:tc>
          <w:tcPr>
            <w:tcW w:w="10188" w:type="dxa"/>
          </w:tcPr>
          <w:p w14:paraId="2062F4BA" w14:textId="3EF1A715" w:rsidR="0018785B" w:rsidRDefault="63ED5661" w:rsidP="728FB6AB">
            <w:pPr>
              <w:jc w:val="both"/>
              <w:rPr>
                <w:rFonts w:ascii="Arial" w:eastAsia="Arial" w:hAnsi="Arial" w:cs="Arial"/>
                <w:noProof/>
                <w:sz w:val="20"/>
                <w:szCs w:val="20"/>
              </w:rPr>
            </w:pPr>
            <w:r>
              <w:rPr>
                <w:rFonts w:ascii="Arial" w:hAnsi="Arial"/>
                <w:sz w:val="20"/>
              </w:rPr>
              <w:t>Les administrations publiques devraient devoir supporter des coûts plus élevés liés aux marchés publics et aux régimes d’aide, ainsi que des frais administratifs supplémentaires pour le suivi, l’établissement de rapports et la mise en conformité. Même s’ils devraient être compensés par des économies réalisées au niveau des procédures d’octroi de permis, les coûts administratifs annuels pourraient augmenter d’un montant maximal de 8,92 millions d’EUR à l’échelle de l’UE. Les coûts liés aux marchés publics devraient augmenter dans tous les États membres, en raison de l’incidence des exigences en matière de contenu minimal originaire de l’UE.</w:t>
            </w:r>
          </w:p>
          <w:p w14:paraId="6AD57CF9" w14:textId="76A99270" w:rsidR="0018785B" w:rsidRDefault="0018785B" w:rsidP="29832DD3">
            <w:pPr>
              <w:jc w:val="both"/>
              <w:rPr>
                <w:rFonts w:ascii="Arial" w:eastAsia="Arial" w:hAnsi="Arial" w:cs="Arial"/>
                <w:noProof/>
                <w:sz w:val="20"/>
                <w:szCs w:val="20"/>
              </w:rPr>
            </w:pPr>
          </w:p>
        </w:tc>
      </w:tr>
      <w:tr w:rsidR="0018785B" w:rsidRPr="00501394" w14:paraId="6AD57CFC" w14:textId="77777777" w:rsidTr="002C595E">
        <w:trPr>
          <w:trHeight w:val="384"/>
        </w:trPr>
        <w:tc>
          <w:tcPr>
            <w:tcW w:w="10188" w:type="dxa"/>
            <w:tcBorders>
              <w:bottom w:val="single" w:sz="4" w:space="0" w:color="auto"/>
            </w:tcBorders>
            <w:shd w:val="clear" w:color="auto" w:fill="E6E6E6"/>
          </w:tcPr>
          <w:p w14:paraId="6AD57CFB" w14:textId="2C52060E" w:rsidR="0018785B" w:rsidRPr="00501394" w:rsidRDefault="0018785B" w:rsidP="125C8194">
            <w:pPr>
              <w:spacing w:before="60"/>
              <w:jc w:val="both"/>
              <w:rPr>
                <w:rFonts w:ascii="Tahoma" w:hAnsi="Tahoma" w:cs="Tahoma"/>
                <w:noProof/>
                <w:sz w:val="20"/>
                <w:szCs w:val="20"/>
                <w:u w:val="single"/>
              </w:rPr>
            </w:pPr>
            <w:r>
              <w:rPr>
                <w:rFonts w:ascii="Tahoma" w:hAnsi="Tahoma"/>
                <w:b/>
                <w:sz w:val="20"/>
              </w:rPr>
              <w:t>Y aura-t-il d’autres incidences notables?</w:t>
            </w:r>
            <w:r>
              <w:rPr>
                <w:rFonts w:ascii="Tahoma" w:hAnsi="Tahoma"/>
                <w:sz w:val="20"/>
              </w:rPr>
              <w:t xml:space="preserve"> </w:t>
            </w:r>
          </w:p>
        </w:tc>
      </w:tr>
      <w:tr w:rsidR="0018785B" w:rsidRPr="00B230F2" w14:paraId="6AD57D03" w14:textId="77777777" w:rsidTr="37163261">
        <w:tc>
          <w:tcPr>
            <w:tcW w:w="10188" w:type="dxa"/>
            <w:tcBorders>
              <w:bottom w:val="single" w:sz="4" w:space="0" w:color="auto"/>
            </w:tcBorders>
          </w:tcPr>
          <w:p w14:paraId="30C34DFC" w14:textId="5860D881" w:rsidR="0018785B" w:rsidRDefault="7ACA4AB5" w:rsidP="22503CDF">
            <w:pPr>
              <w:jc w:val="both"/>
              <w:rPr>
                <w:rFonts w:ascii="Arial" w:hAnsi="Arial" w:cs="Arial"/>
                <w:noProof/>
                <w:sz w:val="20"/>
                <w:szCs w:val="20"/>
              </w:rPr>
            </w:pPr>
            <w:r>
              <w:rPr>
                <w:rFonts w:ascii="Arial" w:hAnsi="Arial"/>
                <w:sz w:val="20"/>
              </w:rPr>
              <w:t xml:space="preserve">Le règlement relatif à l’accélération des capacités industrielles devrait renforcer la compétitivité des industries de l’UE dans les secteurs des IGCE, de l’énergie solaire, des batteries et des composants de véhicules en garantissant la demande pour leurs produits, tout en consolidant la sécurité économique et la résilience de l’UE. Les flux commerciaux internationaux s’en trouveraient modifiés, ce qui réduirait les dépendances et favoriserait les investissements étrangers dans l’UE générant une plus forte valeur ajoutée. Les réactions négatives potentielles de certains partenaires commerciaux pourraient entraîner des difficultés en matière de compétitivité pour l’industrie de l’UE sur les marchés mondiaux. </w:t>
            </w:r>
          </w:p>
          <w:p w14:paraId="6AD57D02" w14:textId="450D52FD" w:rsidR="0018785B" w:rsidRDefault="0018785B" w:rsidP="00926E4B">
            <w:pPr>
              <w:jc w:val="both"/>
              <w:rPr>
                <w:rFonts w:ascii="Arial" w:hAnsi="Arial" w:cs="Arial"/>
                <w:noProof/>
                <w:sz w:val="20"/>
                <w:szCs w:val="20"/>
              </w:rPr>
            </w:pPr>
          </w:p>
        </w:tc>
      </w:tr>
      <w:tr w:rsidR="0018785B" w:rsidRPr="00501394" w14:paraId="6AD57D05" w14:textId="77777777" w:rsidTr="37163261">
        <w:tc>
          <w:tcPr>
            <w:tcW w:w="10188" w:type="dxa"/>
            <w:tcBorders>
              <w:bottom w:val="single" w:sz="4" w:space="0" w:color="auto"/>
            </w:tcBorders>
            <w:shd w:val="clear" w:color="auto" w:fill="C0C0C0"/>
          </w:tcPr>
          <w:p w14:paraId="6AD57D04" w14:textId="77777777" w:rsidR="0018785B" w:rsidRPr="0040097D" w:rsidRDefault="0018785B" w:rsidP="00FA5A6C">
            <w:pPr>
              <w:spacing w:before="60" w:after="60"/>
              <w:jc w:val="center"/>
              <w:rPr>
                <w:rFonts w:ascii="Tahoma" w:hAnsi="Tahoma" w:cs="Tahoma"/>
                <w:b/>
                <w:noProof/>
                <w:sz w:val="22"/>
                <w:szCs w:val="22"/>
              </w:rPr>
            </w:pPr>
            <w:r>
              <w:rPr>
                <w:rFonts w:ascii="Tahoma" w:hAnsi="Tahoma"/>
                <w:b/>
                <w:sz w:val="22"/>
              </w:rPr>
              <w:t>D. Suivi</w:t>
            </w:r>
          </w:p>
        </w:tc>
      </w:tr>
      <w:tr w:rsidR="0018785B" w:rsidRPr="00501394" w14:paraId="6AD57D07" w14:textId="77777777" w:rsidTr="37163261">
        <w:tc>
          <w:tcPr>
            <w:tcW w:w="10188" w:type="dxa"/>
            <w:tcBorders>
              <w:bottom w:val="single" w:sz="4" w:space="0" w:color="auto"/>
            </w:tcBorders>
            <w:shd w:val="clear" w:color="auto" w:fill="E6E6E6"/>
          </w:tcPr>
          <w:p w14:paraId="6AD57D06" w14:textId="51A087D8" w:rsidR="0018785B" w:rsidRPr="00501394" w:rsidRDefault="0018785B" w:rsidP="00FA5A6C">
            <w:pPr>
              <w:spacing w:before="60"/>
              <w:jc w:val="both"/>
              <w:rPr>
                <w:rFonts w:ascii="Tahoma" w:hAnsi="Tahoma" w:cs="Tahoma"/>
                <w:noProof/>
                <w:sz w:val="20"/>
                <w:szCs w:val="20"/>
              </w:rPr>
            </w:pPr>
            <w:r>
              <w:rPr>
                <w:rFonts w:ascii="Tahoma" w:hAnsi="Tahoma"/>
                <w:b/>
                <w:sz w:val="20"/>
              </w:rPr>
              <w:t xml:space="preserve">Quand la législation sera-t-elle réexaminée? </w:t>
            </w:r>
          </w:p>
        </w:tc>
      </w:tr>
      <w:tr w:rsidR="0018785B" w:rsidRPr="00501394" w14:paraId="6AD57D0B" w14:textId="77777777" w:rsidTr="37163261">
        <w:tc>
          <w:tcPr>
            <w:tcW w:w="10188" w:type="dxa"/>
            <w:tcBorders>
              <w:bottom w:val="single" w:sz="4" w:space="0" w:color="auto"/>
            </w:tcBorders>
          </w:tcPr>
          <w:p w14:paraId="6AD57D0A" w14:textId="73FDBE35" w:rsidR="0018785B" w:rsidRPr="008A72EE" w:rsidRDefault="44294DC4" w:rsidP="00FA5A6C">
            <w:pPr>
              <w:jc w:val="both"/>
              <w:rPr>
                <w:rFonts w:ascii="Arial" w:hAnsi="Arial" w:cs="Arial"/>
                <w:noProof/>
                <w:sz w:val="20"/>
                <w:szCs w:val="20"/>
              </w:rPr>
            </w:pPr>
            <w:r>
              <w:rPr>
                <w:rFonts w:ascii="Arial" w:hAnsi="Arial"/>
                <w:sz w:val="20"/>
              </w:rPr>
              <w:t xml:space="preserve">Il convient de procéder à une évaluation trois ans après l’entrée en vigueur, et une clause de réexamen explicite s’appliquera cinq ans après l’entrée en vigueur. </w:t>
            </w:r>
          </w:p>
        </w:tc>
      </w:tr>
    </w:tbl>
    <w:p w14:paraId="6AD57D0C" w14:textId="77777777" w:rsidR="0018785B" w:rsidRPr="00FF49EF" w:rsidRDefault="0018785B" w:rsidP="00C42ABB">
      <w:pPr>
        <w:rPr>
          <w:noProof/>
          <w:lang w:val="fr-BE"/>
        </w:rPr>
      </w:pPr>
    </w:p>
    <w:sectPr w:rsidR="0018785B" w:rsidRPr="00FF49EF" w:rsidSect="000E2348">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90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D207D" w14:textId="77777777" w:rsidR="003609F1" w:rsidRDefault="003609F1" w:rsidP="0018785B">
      <w:r>
        <w:separator/>
      </w:r>
    </w:p>
  </w:endnote>
  <w:endnote w:type="continuationSeparator" w:id="0">
    <w:p w14:paraId="2B3FDDD3" w14:textId="77777777" w:rsidR="003609F1" w:rsidRDefault="003609F1" w:rsidP="0018785B">
      <w:r>
        <w:continuationSeparator/>
      </w:r>
    </w:p>
  </w:endnote>
  <w:endnote w:type="continuationNotice" w:id="1">
    <w:p w14:paraId="0EB31AFF" w14:textId="77777777" w:rsidR="003609F1" w:rsidRDefault="003609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5FCEB" w14:textId="12F0A976" w:rsidR="007B01F4" w:rsidRPr="007B01F4" w:rsidRDefault="007B01F4" w:rsidP="007B01F4">
    <w:pPr>
      <w:pStyle w:val="FooterCoverPage"/>
      <w:rPr>
        <w:rFonts w:ascii="Arial" w:hAnsi="Arial" w:cs="Arial"/>
        <w:b/>
        <w:sz w:val="48"/>
      </w:rPr>
    </w:pPr>
    <w:r w:rsidRPr="007B01F4">
      <w:rPr>
        <w:rFonts w:ascii="Arial" w:hAnsi="Arial" w:cs="Arial"/>
        <w:b/>
        <w:sz w:val="48"/>
      </w:rPr>
      <w:t>FR</w:t>
    </w:r>
    <w:r w:rsidRPr="007B01F4">
      <w:rPr>
        <w:rFonts w:ascii="Arial" w:hAnsi="Arial" w:cs="Arial"/>
        <w:b/>
        <w:sz w:val="48"/>
      </w:rPr>
      <w:tab/>
    </w:r>
    <w:r w:rsidRPr="007B01F4">
      <w:rPr>
        <w:rFonts w:ascii="Arial" w:hAnsi="Arial" w:cs="Arial"/>
        <w:b/>
        <w:sz w:val="48"/>
      </w:rPr>
      <w:tab/>
    </w:r>
    <w:r w:rsidRPr="007B01F4">
      <w:tab/>
    </w:r>
    <w:r w:rsidRPr="007B01F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AEF64" w14:textId="0BADED41" w:rsidR="007B01F4" w:rsidRPr="007B01F4" w:rsidRDefault="007B01F4" w:rsidP="007B01F4">
    <w:pPr>
      <w:pStyle w:val="FooterCoverPage"/>
      <w:rPr>
        <w:rFonts w:ascii="Arial" w:hAnsi="Arial" w:cs="Arial"/>
        <w:b/>
        <w:sz w:val="48"/>
      </w:rPr>
    </w:pPr>
    <w:r w:rsidRPr="007B01F4">
      <w:rPr>
        <w:rFonts w:ascii="Arial" w:hAnsi="Arial" w:cs="Arial"/>
        <w:b/>
        <w:sz w:val="48"/>
      </w:rPr>
      <w:t>FR</w:t>
    </w:r>
    <w:r w:rsidRPr="007B01F4">
      <w:rPr>
        <w:rFonts w:ascii="Arial" w:hAnsi="Arial" w:cs="Arial"/>
        <w:b/>
        <w:sz w:val="48"/>
      </w:rPr>
      <w:tab/>
    </w:r>
    <w:r w:rsidRPr="007B01F4">
      <w:rPr>
        <w:rFonts w:ascii="Arial" w:hAnsi="Arial" w:cs="Arial"/>
        <w:b/>
        <w:sz w:val="48"/>
      </w:rPr>
      <w:tab/>
    </w:r>
    <w:r w:rsidRPr="007B01F4">
      <w:tab/>
    </w:r>
    <w:r w:rsidRPr="007B01F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BAA62" w14:textId="77777777" w:rsidR="007B01F4" w:rsidRPr="007B01F4" w:rsidRDefault="007B01F4" w:rsidP="007B01F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E5D60" w14:textId="77777777" w:rsidR="00D60859" w:rsidRDefault="00D6085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294695"/>
      <w:docPartObj>
        <w:docPartGallery w:val="Page Numbers (Bottom of Page)"/>
        <w:docPartUnique/>
      </w:docPartObj>
    </w:sdtPr>
    <w:sdtEndPr>
      <w:rPr>
        <w:noProof/>
      </w:rPr>
    </w:sdtEndPr>
    <w:sdtContent>
      <w:p w14:paraId="0FC13D3E" w14:textId="0C0BF24A" w:rsidR="000E2348" w:rsidRDefault="000E2348">
        <w:pPr>
          <w:pStyle w:val="Footer"/>
          <w:jc w:val="center"/>
        </w:pPr>
        <w:r>
          <w:fldChar w:fldCharType="begin"/>
        </w:r>
        <w:r>
          <w:instrText xml:space="preserve"> PAGE  \* Arabic  \* MERGEFORMAT </w:instrText>
        </w:r>
        <w:r>
          <w:fldChar w:fldCharType="separate"/>
        </w:r>
        <w:r>
          <w:t>4</w:t>
        </w:r>
        <w:r>
          <w:fldChar w:fldCharType="end"/>
        </w:r>
      </w:p>
    </w:sdtContent>
  </w:sdt>
  <w:p w14:paraId="4C5333AD" w14:textId="7416F1B9" w:rsidR="003C2FDB" w:rsidRDefault="003C2FDB" w:rsidP="00C03F89">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D4A71" w14:textId="77777777" w:rsidR="00EF307C" w:rsidRDefault="00EF30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E70F3" w14:textId="77777777" w:rsidR="003609F1" w:rsidRDefault="003609F1" w:rsidP="0018785B">
      <w:r>
        <w:separator/>
      </w:r>
    </w:p>
  </w:footnote>
  <w:footnote w:type="continuationSeparator" w:id="0">
    <w:p w14:paraId="6D259835" w14:textId="77777777" w:rsidR="003609F1" w:rsidRDefault="003609F1" w:rsidP="0018785B">
      <w:r>
        <w:continuationSeparator/>
      </w:r>
    </w:p>
  </w:footnote>
  <w:footnote w:type="continuationNotice" w:id="1">
    <w:p w14:paraId="6476964A" w14:textId="77777777" w:rsidR="003609F1" w:rsidRDefault="003609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10508" w14:textId="77777777" w:rsidR="007B01F4" w:rsidRPr="007B01F4" w:rsidRDefault="007B01F4" w:rsidP="007B01F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F7FF3" w14:textId="77777777" w:rsidR="007B01F4" w:rsidRPr="007B01F4" w:rsidRDefault="007B01F4" w:rsidP="007B01F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E3864" w14:textId="77777777" w:rsidR="007B01F4" w:rsidRPr="007B01F4" w:rsidRDefault="007B01F4" w:rsidP="007B01F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BE3A6" w14:textId="77777777" w:rsidR="00EC4348" w:rsidRDefault="00EC43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82FFC" w14:textId="77777777" w:rsidR="00503B1B" w:rsidRDefault="00503B1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C42AF" w14:textId="77777777" w:rsidR="003A77F1" w:rsidRDefault="003A77F1">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C6289A"/>
    <w:multiLevelType w:val="hybridMultilevel"/>
    <w:tmpl w:val="AFAE2F5A"/>
    <w:lvl w:ilvl="0" w:tplc="D460F78C">
      <w:start w:val="1"/>
      <w:numFmt w:val="decimal"/>
      <w:lvlText w:val="%1."/>
      <w:lvlJc w:val="left"/>
      <w:pPr>
        <w:ind w:left="720" w:hanging="360"/>
      </w:pPr>
    </w:lvl>
    <w:lvl w:ilvl="1" w:tplc="38267478">
      <w:start w:val="1"/>
      <w:numFmt w:val="lowerLetter"/>
      <w:lvlText w:val="%2."/>
      <w:lvlJc w:val="left"/>
      <w:pPr>
        <w:ind w:left="1440" w:hanging="360"/>
      </w:pPr>
    </w:lvl>
    <w:lvl w:ilvl="2" w:tplc="C1046F20">
      <w:start w:val="1"/>
      <w:numFmt w:val="lowerRoman"/>
      <w:lvlText w:val="%3."/>
      <w:lvlJc w:val="right"/>
      <w:pPr>
        <w:ind w:left="2160" w:hanging="180"/>
      </w:pPr>
    </w:lvl>
    <w:lvl w:ilvl="3" w:tplc="B8AC4BDC">
      <w:start w:val="1"/>
      <w:numFmt w:val="decimal"/>
      <w:lvlText w:val="%4."/>
      <w:lvlJc w:val="left"/>
      <w:pPr>
        <w:ind w:left="2880" w:hanging="360"/>
      </w:pPr>
    </w:lvl>
    <w:lvl w:ilvl="4" w:tplc="9EA0F450">
      <w:start w:val="1"/>
      <w:numFmt w:val="lowerLetter"/>
      <w:lvlText w:val="%5."/>
      <w:lvlJc w:val="left"/>
      <w:pPr>
        <w:ind w:left="3600" w:hanging="360"/>
      </w:pPr>
    </w:lvl>
    <w:lvl w:ilvl="5" w:tplc="3922299C">
      <w:start w:val="1"/>
      <w:numFmt w:val="lowerRoman"/>
      <w:lvlText w:val="%6."/>
      <w:lvlJc w:val="right"/>
      <w:pPr>
        <w:ind w:left="4320" w:hanging="180"/>
      </w:pPr>
    </w:lvl>
    <w:lvl w:ilvl="6" w:tplc="AD8075D6">
      <w:start w:val="1"/>
      <w:numFmt w:val="decimal"/>
      <w:lvlText w:val="%7."/>
      <w:lvlJc w:val="left"/>
      <w:pPr>
        <w:ind w:left="786" w:hanging="360"/>
      </w:pPr>
    </w:lvl>
    <w:lvl w:ilvl="7" w:tplc="16868DE8">
      <w:start w:val="1"/>
      <w:numFmt w:val="lowerLetter"/>
      <w:lvlText w:val="%8."/>
      <w:lvlJc w:val="left"/>
      <w:pPr>
        <w:ind w:left="5760" w:hanging="360"/>
      </w:pPr>
    </w:lvl>
    <w:lvl w:ilvl="8" w:tplc="7576B432">
      <w:start w:val="1"/>
      <w:numFmt w:val="lowerRoman"/>
      <w:lvlText w:val="%9."/>
      <w:lvlJc w:val="right"/>
      <w:pPr>
        <w:ind w:left="6480" w:hanging="180"/>
      </w:pPr>
    </w:lvl>
  </w:abstractNum>
  <w:num w:numId="1" w16cid:durableId="2108693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accompagnant le document:"/>
    <w:docVar w:name="LW_CORRIGENDUM" w:val="&lt;UNUSED&gt;"/>
    <w:docVar w:name="LW_COVERPAGE_EXISTS" w:val="True"/>
    <w:docVar w:name="LW_COVERPAGE_GUID" w:val="C1AE5C5F-2C53-4480-8F03-CE24916C2ADA"/>
    <w:docVar w:name="LW_COVERPAGE_TYPE" w:val="1"/>
    <w:docVar w:name="LW_CROSSREFERENCE" w:val="{COM(2026) 100 final} - {SEC(2026) 70 final} - {SWD(2026) 70 final} - {SWD(2026) 71 final}"/>
    <w:docVar w:name="LW_DocType" w:val="NORMAL"/>
    <w:docVar w:name="LW_EMISSION" w:val="4.3.2026"/>
    <w:docVar w:name="LW_EMISSION_ISODATE" w:val="2026-03-04"/>
    <w:docVar w:name="LW_EMISSION_LOCATION" w:val="BRX"/>
    <w:docVar w:name="LW_EMISSION_PREFIX" w:val="Bruxelles, le "/>
    <w:docVar w:name="LW_EMISSION_SUFFIX" w:val=" "/>
    <w:docVar w:name="LW_ID_DOCTYPE_NONLW" w:val="CP-027"/>
    <w:docVar w:name="LW_LANGUE" w:val="FR"/>
    <w:docVar w:name="LW_LEVEL_OF_SENSITIVITY" w:val="Standard treatment"/>
    <w:docVar w:name="LW_NOM.INST" w:val="COMMISSION EUROPÉENNE"/>
    <w:docVar w:name="LW_NOM.INST_JOINTDOC" w:val="&lt;EMPTY&gt;"/>
    <w:docVar w:name="LW_OBJETACTEPRINCIPAL.CP" w:val="établissant un cadre de mesures d\u8217?accélération du développement des capacités industrielles et de la décarbonation dans des secteurs stratégiques et modifiant les règlements (UE) 2018/1724, (UE) 2024/1735 et (UE) 2024/3110"/>
    <w:docVar w:name="LW_PART_NBR" w:val="1"/>
    <w:docVar w:name="LW_PART_NBR_TOTAL" w:val="1"/>
    <w:docVar w:name="LW_REF.INST.NEW" w:val="SWD"/>
    <w:docVar w:name="LW_REF.INST.NEW_ADOPTED" w:val="final"/>
    <w:docVar w:name="LW_REF.INST.NEW_TEXT" w:val="(2026) 7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DOCUMENT DE TRAVAIL DES SERVICES DE LA COMMISSION_x000b__x000b_RÉSUMÉ DU RAPPORT D'ANALYSE D'IMPACT_x000b_"/>
    <w:docVar w:name="LW_TYPEACTEPRINCIPAL.CP" w:val="proposition de RÈGLEMENT DU PARLEMENT EUROPÉEN ET DU CONSEIL"/>
    <w:docVar w:name="LwApiVersions" w:val="LW4CoDe 1.24.5.0; LW 9.2, Build 20251112"/>
  </w:docVars>
  <w:rsids>
    <w:rsidRoot w:val="0018785B"/>
    <w:rsid w:val="00001485"/>
    <w:rsid w:val="00001C01"/>
    <w:rsid w:val="00003960"/>
    <w:rsid w:val="00003AFA"/>
    <w:rsid w:val="00004376"/>
    <w:rsid w:val="00006D81"/>
    <w:rsid w:val="00015F84"/>
    <w:rsid w:val="00020C6F"/>
    <w:rsid w:val="000250D0"/>
    <w:rsid w:val="000303A4"/>
    <w:rsid w:val="00032533"/>
    <w:rsid w:val="00040D31"/>
    <w:rsid w:val="000427EE"/>
    <w:rsid w:val="00042EF1"/>
    <w:rsid w:val="0004666C"/>
    <w:rsid w:val="000548DD"/>
    <w:rsid w:val="00055CD4"/>
    <w:rsid w:val="00063820"/>
    <w:rsid w:val="000649FE"/>
    <w:rsid w:val="00066ECF"/>
    <w:rsid w:val="000675A6"/>
    <w:rsid w:val="00072CB8"/>
    <w:rsid w:val="0007572C"/>
    <w:rsid w:val="00075AE7"/>
    <w:rsid w:val="00076725"/>
    <w:rsid w:val="0007ADF2"/>
    <w:rsid w:val="00081FC4"/>
    <w:rsid w:val="00084423"/>
    <w:rsid w:val="00085C05"/>
    <w:rsid w:val="00091639"/>
    <w:rsid w:val="00097F8F"/>
    <w:rsid w:val="000A05A8"/>
    <w:rsid w:val="000A1BD3"/>
    <w:rsid w:val="000A5CCE"/>
    <w:rsid w:val="000A75DC"/>
    <w:rsid w:val="000B52AB"/>
    <w:rsid w:val="000B52D9"/>
    <w:rsid w:val="000B677B"/>
    <w:rsid w:val="000B726E"/>
    <w:rsid w:val="000C1D67"/>
    <w:rsid w:val="000C2D0A"/>
    <w:rsid w:val="000C585E"/>
    <w:rsid w:val="000D105F"/>
    <w:rsid w:val="000D2E90"/>
    <w:rsid w:val="000D4204"/>
    <w:rsid w:val="000D6324"/>
    <w:rsid w:val="000D7451"/>
    <w:rsid w:val="000E1527"/>
    <w:rsid w:val="000E2348"/>
    <w:rsid w:val="000E3475"/>
    <w:rsid w:val="000E3B0D"/>
    <w:rsid w:val="000E4D12"/>
    <w:rsid w:val="000E63FB"/>
    <w:rsid w:val="000E676B"/>
    <w:rsid w:val="000E7935"/>
    <w:rsid w:val="000F100A"/>
    <w:rsid w:val="000F102A"/>
    <w:rsid w:val="000F2018"/>
    <w:rsid w:val="000F3906"/>
    <w:rsid w:val="000F3F1A"/>
    <w:rsid w:val="000F4D76"/>
    <w:rsid w:val="000F7747"/>
    <w:rsid w:val="00100ECB"/>
    <w:rsid w:val="0010191D"/>
    <w:rsid w:val="00103B88"/>
    <w:rsid w:val="00107803"/>
    <w:rsid w:val="001100BA"/>
    <w:rsid w:val="00110758"/>
    <w:rsid w:val="00110B72"/>
    <w:rsid w:val="00111F09"/>
    <w:rsid w:val="00112ADA"/>
    <w:rsid w:val="00112BD2"/>
    <w:rsid w:val="00113D71"/>
    <w:rsid w:val="00114E93"/>
    <w:rsid w:val="001153F7"/>
    <w:rsid w:val="00115FF9"/>
    <w:rsid w:val="001165A5"/>
    <w:rsid w:val="001213C5"/>
    <w:rsid w:val="001221BA"/>
    <w:rsid w:val="00124195"/>
    <w:rsid w:val="0013096C"/>
    <w:rsid w:val="001309DB"/>
    <w:rsid w:val="00131EE1"/>
    <w:rsid w:val="001357F6"/>
    <w:rsid w:val="00136D97"/>
    <w:rsid w:val="00140089"/>
    <w:rsid w:val="00147108"/>
    <w:rsid w:val="00147FD9"/>
    <w:rsid w:val="00151024"/>
    <w:rsid w:val="00152B4E"/>
    <w:rsid w:val="00161471"/>
    <w:rsid w:val="00162998"/>
    <w:rsid w:val="00162A83"/>
    <w:rsid w:val="00163D2A"/>
    <w:rsid w:val="00164ED6"/>
    <w:rsid w:val="00165697"/>
    <w:rsid w:val="00166010"/>
    <w:rsid w:val="00166DFD"/>
    <w:rsid w:val="00170BC9"/>
    <w:rsid w:val="00171369"/>
    <w:rsid w:val="00174B08"/>
    <w:rsid w:val="00177BF5"/>
    <w:rsid w:val="001809C3"/>
    <w:rsid w:val="00180EA5"/>
    <w:rsid w:val="00181416"/>
    <w:rsid w:val="001831CC"/>
    <w:rsid w:val="00187033"/>
    <w:rsid w:val="0018785B"/>
    <w:rsid w:val="0018D5D2"/>
    <w:rsid w:val="00193517"/>
    <w:rsid w:val="00193D48"/>
    <w:rsid w:val="001A1E95"/>
    <w:rsid w:val="001A54CD"/>
    <w:rsid w:val="001A67A1"/>
    <w:rsid w:val="001B0AB4"/>
    <w:rsid w:val="001B0F50"/>
    <w:rsid w:val="001B3A12"/>
    <w:rsid w:val="001C0A4D"/>
    <w:rsid w:val="001C2732"/>
    <w:rsid w:val="001C3158"/>
    <w:rsid w:val="001C4215"/>
    <w:rsid w:val="001C5D6D"/>
    <w:rsid w:val="001D3571"/>
    <w:rsid w:val="001D45A4"/>
    <w:rsid w:val="001D6382"/>
    <w:rsid w:val="001E0E59"/>
    <w:rsid w:val="001E16E2"/>
    <w:rsid w:val="001E3BA0"/>
    <w:rsid w:val="001E4F2D"/>
    <w:rsid w:val="001F1075"/>
    <w:rsid w:val="001F3E4B"/>
    <w:rsid w:val="00201E53"/>
    <w:rsid w:val="00202AFA"/>
    <w:rsid w:val="0020614F"/>
    <w:rsid w:val="002074CB"/>
    <w:rsid w:val="0021133B"/>
    <w:rsid w:val="002113B9"/>
    <w:rsid w:val="0021438B"/>
    <w:rsid w:val="00214495"/>
    <w:rsid w:val="002149DE"/>
    <w:rsid w:val="0022320E"/>
    <w:rsid w:val="002235D2"/>
    <w:rsid w:val="00223669"/>
    <w:rsid w:val="002269BD"/>
    <w:rsid w:val="00227A65"/>
    <w:rsid w:val="00230AFF"/>
    <w:rsid w:val="00231D79"/>
    <w:rsid w:val="00232B32"/>
    <w:rsid w:val="00237263"/>
    <w:rsid w:val="002377CB"/>
    <w:rsid w:val="00250C7F"/>
    <w:rsid w:val="00255C40"/>
    <w:rsid w:val="002567A4"/>
    <w:rsid w:val="002579B4"/>
    <w:rsid w:val="00261D48"/>
    <w:rsid w:val="00264FFB"/>
    <w:rsid w:val="002717B4"/>
    <w:rsid w:val="002728AC"/>
    <w:rsid w:val="0027353A"/>
    <w:rsid w:val="00273BF4"/>
    <w:rsid w:val="00275BE3"/>
    <w:rsid w:val="00280A1C"/>
    <w:rsid w:val="00281373"/>
    <w:rsid w:val="002842DB"/>
    <w:rsid w:val="002846A2"/>
    <w:rsid w:val="00284BA1"/>
    <w:rsid w:val="00284BE0"/>
    <w:rsid w:val="00291109"/>
    <w:rsid w:val="0029225C"/>
    <w:rsid w:val="002966CA"/>
    <w:rsid w:val="002A01EC"/>
    <w:rsid w:val="002A1FD1"/>
    <w:rsid w:val="002A7D85"/>
    <w:rsid w:val="002B01D2"/>
    <w:rsid w:val="002B3D9C"/>
    <w:rsid w:val="002C2455"/>
    <w:rsid w:val="002C595E"/>
    <w:rsid w:val="002C60B3"/>
    <w:rsid w:val="002C774D"/>
    <w:rsid w:val="002D1582"/>
    <w:rsid w:val="002D5C99"/>
    <w:rsid w:val="002D6A43"/>
    <w:rsid w:val="002E1CD1"/>
    <w:rsid w:val="002E1F37"/>
    <w:rsid w:val="002E3AE9"/>
    <w:rsid w:val="002E6DBC"/>
    <w:rsid w:val="002E7D94"/>
    <w:rsid w:val="002F221C"/>
    <w:rsid w:val="002F30B9"/>
    <w:rsid w:val="002F3B64"/>
    <w:rsid w:val="002F4E17"/>
    <w:rsid w:val="002F6EEC"/>
    <w:rsid w:val="003029FF"/>
    <w:rsid w:val="003035DA"/>
    <w:rsid w:val="00304005"/>
    <w:rsid w:val="003217FA"/>
    <w:rsid w:val="0032317B"/>
    <w:rsid w:val="00323701"/>
    <w:rsid w:val="00330300"/>
    <w:rsid w:val="0033115A"/>
    <w:rsid w:val="00331936"/>
    <w:rsid w:val="00331C3E"/>
    <w:rsid w:val="003327D8"/>
    <w:rsid w:val="00334F78"/>
    <w:rsid w:val="00337B99"/>
    <w:rsid w:val="0034385B"/>
    <w:rsid w:val="003445A7"/>
    <w:rsid w:val="00347F4A"/>
    <w:rsid w:val="00351AE0"/>
    <w:rsid w:val="0035230E"/>
    <w:rsid w:val="00357053"/>
    <w:rsid w:val="003609F1"/>
    <w:rsid w:val="00361053"/>
    <w:rsid w:val="003619B3"/>
    <w:rsid w:val="00361A7A"/>
    <w:rsid w:val="00365358"/>
    <w:rsid w:val="00367FF1"/>
    <w:rsid w:val="00374388"/>
    <w:rsid w:val="00375BD5"/>
    <w:rsid w:val="00376CBC"/>
    <w:rsid w:val="00381306"/>
    <w:rsid w:val="00383B60"/>
    <w:rsid w:val="00384E2F"/>
    <w:rsid w:val="00390531"/>
    <w:rsid w:val="00390900"/>
    <w:rsid w:val="00390F08"/>
    <w:rsid w:val="00390FBA"/>
    <w:rsid w:val="003946EC"/>
    <w:rsid w:val="00396C0B"/>
    <w:rsid w:val="00397AF4"/>
    <w:rsid w:val="003A1673"/>
    <w:rsid w:val="003A2ADD"/>
    <w:rsid w:val="003A6980"/>
    <w:rsid w:val="003A77F1"/>
    <w:rsid w:val="003B51FC"/>
    <w:rsid w:val="003C1253"/>
    <w:rsid w:val="003C1BAF"/>
    <w:rsid w:val="003C2FDB"/>
    <w:rsid w:val="003C4457"/>
    <w:rsid w:val="003D015B"/>
    <w:rsid w:val="003D03E0"/>
    <w:rsid w:val="003D107D"/>
    <w:rsid w:val="003D1D93"/>
    <w:rsid w:val="003D4300"/>
    <w:rsid w:val="003D5E7E"/>
    <w:rsid w:val="003D72D8"/>
    <w:rsid w:val="003F1526"/>
    <w:rsid w:val="003F4EBD"/>
    <w:rsid w:val="003F6C8F"/>
    <w:rsid w:val="003F7B69"/>
    <w:rsid w:val="004036EF"/>
    <w:rsid w:val="004150C9"/>
    <w:rsid w:val="00415A27"/>
    <w:rsid w:val="00420A23"/>
    <w:rsid w:val="00424F0C"/>
    <w:rsid w:val="00435DB5"/>
    <w:rsid w:val="00441877"/>
    <w:rsid w:val="00445D35"/>
    <w:rsid w:val="00450AF1"/>
    <w:rsid w:val="00454864"/>
    <w:rsid w:val="004629F8"/>
    <w:rsid w:val="00462A84"/>
    <w:rsid w:val="00462DF2"/>
    <w:rsid w:val="00467706"/>
    <w:rsid w:val="00473218"/>
    <w:rsid w:val="00473D20"/>
    <w:rsid w:val="00484D8E"/>
    <w:rsid w:val="00487567"/>
    <w:rsid w:val="00487C43"/>
    <w:rsid w:val="00493A7A"/>
    <w:rsid w:val="00494403"/>
    <w:rsid w:val="004A318A"/>
    <w:rsid w:val="004A45AC"/>
    <w:rsid w:val="004B141F"/>
    <w:rsid w:val="004B270B"/>
    <w:rsid w:val="004B3C78"/>
    <w:rsid w:val="004B64BD"/>
    <w:rsid w:val="004C1C05"/>
    <w:rsid w:val="004C5644"/>
    <w:rsid w:val="004C6051"/>
    <w:rsid w:val="004D08D4"/>
    <w:rsid w:val="004D2BC4"/>
    <w:rsid w:val="004D4B7B"/>
    <w:rsid w:val="004E06F4"/>
    <w:rsid w:val="004E1F27"/>
    <w:rsid w:val="004E319E"/>
    <w:rsid w:val="004E371C"/>
    <w:rsid w:val="004E5183"/>
    <w:rsid w:val="004E7E49"/>
    <w:rsid w:val="004F0F84"/>
    <w:rsid w:val="004F2B04"/>
    <w:rsid w:val="004F4250"/>
    <w:rsid w:val="004F49F1"/>
    <w:rsid w:val="005009FA"/>
    <w:rsid w:val="00501354"/>
    <w:rsid w:val="00503B1B"/>
    <w:rsid w:val="0050588B"/>
    <w:rsid w:val="00510820"/>
    <w:rsid w:val="005109E1"/>
    <w:rsid w:val="005143F3"/>
    <w:rsid w:val="00517342"/>
    <w:rsid w:val="00517677"/>
    <w:rsid w:val="0052358F"/>
    <w:rsid w:val="00526BA2"/>
    <w:rsid w:val="005320B9"/>
    <w:rsid w:val="00532955"/>
    <w:rsid w:val="00533234"/>
    <w:rsid w:val="00533E9D"/>
    <w:rsid w:val="005341E5"/>
    <w:rsid w:val="00534375"/>
    <w:rsid w:val="00535C2D"/>
    <w:rsid w:val="005402CC"/>
    <w:rsid w:val="0054316E"/>
    <w:rsid w:val="0054D74F"/>
    <w:rsid w:val="005515E6"/>
    <w:rsid w:val="00556060"/>
    <w:rsid w:val="00557A76"/>
    <w:rsid w:val="00563B88"/>
    <w:rsid w:val="005642F9"/>
    <w:rsid w:val="00574864"/>
    <w:rsid w:val="005756D5"/>
    <w:rsid w:val="00581B7D"/>
    <w:rsid w:val="00581F63"/>
    <w:rsid w:val="00582EBF"/>
    <w:rsid w:val="005854F0"/>
    <w:rsid w:val="00587331"/>
    <w:rsid w:val="005947A7"/>
    <w:rsid w:val="00596EA9"/>
    <w:rsid w:val="005A3F09"/>
    <w:rsid w:val="005A5307"/>
    <w:rsid w:val="005A682D"/>
    <w:rsid w:val="005A6F89"/>
    <w:rsid w:val="005B1270"/>
    <w:rsid w:val="005B4CBA"/>
    <w:rsid w:val="005C0C64"/>
    <w:rsid w:val="005C1293"/>
    <w:rsid w:val="005C216D"/>
    <w:rsid w:val="005C2753"/>
    <w:rsid w:val="005C3AA1"/>
    <w:rsid w:val="005C4189"/>
    <w:rsid w:val="005C4989"/>
    <w:rsid w:val="005D1C5F"/>
    <w:rsid w:val="005D3FD8"/>
    <w:rsid w:val="005D6E53"/>
    <w:rsid w:val="005E2E68"/>
    <w:rsid w:val="005E3006"/>
    <w:rsid w:val="005E6204"/>
    <w:rsid w:val="005E72CF"/>
    <w:rsid w:val="005F20B2"/>
    <w:rsid w:val="005F3A7D"/>
    <w:rsid w:val="005F485B"/>
    <w:rsid w:val="005F6622"/>
    <w:rsid w:val="005F726F"/>
    <w:rsid w:val="006016D8"/>
    <w:rsid w:val="00603CE2"/>
    <w:rsid w:val="0060707D"/>
    <w:rsid w:val="00610A0E"/>
    <w:rsid w:val="0061242C"/>
    <w:rsid w:val="00612A87"/>
    <w:rsid w:val="00614279"/>
    <w:rsid w:val="0061619F"/>
    <w:rsid w:val="006179E8"/>
    <w:rsid w:val="0062541B"/>
    <w:rsid w:val="006256DC"/>
    <w:rsid w:val="0063107C"/>
    <w:rsid w:val="006318CC"/>
    <w:rsid w:val="00632554"/>
    <w:rsid w:val="00646A30"/>
    <w:rsid w:val="00650D51"/>
    <w:rsid w:val="00651503"/>
    <w:rsid w:val="0065443D"/>
    <w:rsid w:val="00655C2F"/>
    <w:rsid w:val="00656E96"/>
    <w:rsid w:val="00663141"/>
    <w:rsid w:val="00664213"/>
    <w:rsid w:val="00673D09"/>
    <w:rsid w:val="0068063D"/>
    <w:rsid w:val="006812BD"/>
    <w:rsid w:val="006820DD"/>
    <w:rsid w:val="00682984"/>
    <w:rsid w:val="00683BEF"/>
    <w:rsid w:val="006917D5"/>
    <w:rsid w:val="0069353E"/>
    <w:rsid w:val="006938A3"/>
    <w:rsid w:val="00694FA1"/>
    <w:rsid w:val="00695826"/>
    <w:rsid w:val="006A0DA2"/>
    <w:rsid w:val="006A0ED5"/>
    <w:rsid w:val="006A4168"/>
    <w:rsid w:val="006A503B"/>
    <w:rsid w:val="006A54B5"/>
    <w:rsid w:val="006A6E92"/>
    <w:rsid w:val="006B0698"/>
    <w:rsid w:val="006B432A"/>
    <w:rsid w:val="006B43C3"/>
    <w:rsid w:val="006B4712"/>
    <w:rsid w:val="006B7D27"/>
    <w:rsid w:val="006C09A5"/>
    <w:rsid w:val="006C0BCC"/>
    <w:rsid w:val="006C0CA4"/>
    <w:rsid w:val="006C22D6"/>
    <w:rsid w:val="006C23E1"/>
    <w:rsid w:val="006C5384"/>
    <w:rsid w:val="006D4A10"/>
    <w:rsid w:val="006D78A3"/>
    <w:rsid w:val="006D792B"/>
    <w:rsid w:val="006E155B"/>
    <w:rsid w:val="006E5CE8"/>
    <w:rsid w:val="006F283B"/>
    <w:rsid w:val="006F4DC9"/>
    <w:rsid w:val="006F60C6"/>
    <w:rsid w:val="006F74E5"/>
    <w:rsid w:val="007004FE"/>
    <w:rsid w:val="007013E5"/>
    <w:rsid w:val="00704DF1"/>
    <w:rsid w:val="0070520F"/>
    <w:rsid w:val="007101B3"/>
    <w:rsid w:val="007107F0"/>
    <w:rsid w:val="00711CD2"/>
    <w:rsid w:val="00714092"/>
    <w:rsid w:val="00716610"/>
    <w:rsid w:val="00720C99"/>
    <w:rsid w:val="00722632"/>
    <w:rsid w:val="007254B4"/>
    <w:rsid w:val="0073175D"/>
    <w:rsid w:val="0073176A"/>
    <w:rsid w:val="00732461"/>
    <w:rsid w:val="00732589"/>
    <w:rsid w:val="007362BB"/>
    <w:rsid w:val="00737860"/>
    <w:rsid w:val="00740833"/>
    <w:rsid w:val="007439F7"/>
    <w:rsid w:val="00744E44"/>
    <w:rsid w:val="00744F91"/>
    <w:rsid w:val="007457FE"/>
    <w:rsid w:val="00745975"/>
    <w:rsid w:val="0074631F"/>
    <w:rsid w:val="00751937"/>
    <w:rsid w:val="00752DE7"/>
    <w:rsid w:val="00753245"/>
    <w:rsid w:val="00754A71"/>
    <w:rsid w:val="007603A7"/>
    <w:rsid w:val="00760A53"/>
    <w:rsid w:val="00761443"/>
    <w:rsid w:val="00761450"/>
    <w:rsid w:val="007614E9"/>
    <w:rsid w:val="00761A9C"/>
    <w:rsid w:val="0076217E"/>
    <w:rsid w:val="0076242A"/>
    <w:rsid w:val="00766662"/>
    <w:rsid w:val="00766D84"/>
    <w:rsid w:val="00767874"/>
    <w:rsid w:val="007702B7"/>
    <w:rsid w:val="00770860"/>
    <w:rsid w:val="0077597E"/>
    <w:rsid w:val="00775E5F"/>
    <w:rsid w:val="00776AD3"/>
    <w:rsid w:val="007869E8"/>
    <w:rsid w:val="007870C0"/>
    <w:rsid w:val="0078919B"/>
    <w:rsid w:val="007A0AD9"/>
    <w:rsid w:val="007A1FE7"/>
    <w:rsid w:val="007A3AE4"/>
    <w:rsid w:val="007B01F4"/>
    <w:rsid w:val="007B1799"/>
    <w:rsid w:val="007B79AC"/>
    <w:rsid w:val="007C01F7"/>
    <w:rsid w:val="007C301B"/>
    <w:rsid w:val="007CFFD6"/>
    <w:rsid w:val="007D5252"/>
    <w:rsid w:val="007D7878"/>
    <w:rsid w:val="007E09DB"/>
    <w:rsid w:val="007E4F29"/>
    <w:rsid w:val="007E71A1"/>
    <w:rsid w:val="007F20CA"/>
    <w:rsid w:val="007F3D69"/>
    <w:rsid w:val="007F40F4"/>
    <w:rsid w:val="007F476D"/>
    <w:rsid w:val="007F56FF"/>
    <w:rsid w:val="007F6216"/>
    <w:rsid w:val="00800FBF"/>
    <w:rsid w:val="00801C55"/>
    <w:rsid w:val="008024C6"/>
    <w:rsid w:val="00802A99"/>
    <w:rsid w:val="0080396B"/>
    <w:rsid w:val="00804949"/>
    <w:rsid w:val="00805D25"/>
    <w:rsid w:val="0081151B"/>
    <w:rsid w:val="00811872"/>
    <w:rsid w:val="00812345"/>
    <w:rsid w:val="00812A5F"/>
    <w:rsid w:val="00815E1F"/>
    <w:rsid w:val="00820C70"/>
    <w:rsid w:val="00821B58"/>
    <w:rsid w:val="00822323"/>
    <w:rsid w:val="008237FA"/>
    <w:rsid w:val="00823F01"/>
    <w:rsid w:val="008274D7"/>
    <w:rsid w:val="00830A37"/>
    <w:rsid w:val="00831D01"/>
    <w:rsid w:val="00831DA7"/>
    <w:rsid w:val="0083255C"/>
    <w:rsid w:val="0083361B"/>
    <w:rsid w:val="00834A51"/>
    <w:rsid w:val="00837D89"/>
    <w:rsid w:val="00840919"/>
    <w:rsid w:val="00843610"/>
    <w:rsid w:val="00847403"/>
    <w:rsid w:val="008504B4"/>
    <w:rsid w:val="00852FEB"/>
    <w:rsid w:val="008539CE"/>
    <w:rsid w:val="0085486C"/>
    <w:rsid w:val="00854D1F"/>
    <w:rsid w:val="0085530F"/>
    <w:rsid w:val="008573CD"/>
    <w:rsid w:val="008639B3"/>
    <w:rsid w:val="00867777"/>
    <w:rsid w:val="008707B8"/>
    <w:rsid w:val="00871FF2"/>
    <w:rsid w:val="00874E49"/>
    <w:rsid w:val="0088376C"/>
    <w:rsid w:val="00884D13"/>
    <w:rsid w:val="00885879"/>
    <w:rsid w:val="00890489"/>
    <w:rsid w:val="0089073D"/>
    <w:rsid w:val="00893447"/>
    <w:rsid w:val="0089493B"/>
    <w:rsid w:val="00894E9F"/>
    <w:rsid w:val="008A57C7"/>
    <w:rsid w:val="008A72EE"/>
    <w:rsid w:val="008B48D9"/>
    <w:rsid w:val="008B6490"/>
    <w:rsid w:val="008B6A31"/>
    <w:rsid w:val="008C2CB0"/>
    <w:rsid w:val="008C3157"/>
    <w:rsid w:val="008C66A9"/>
    <w:rsid w:val="008D2446"/>
    <w:rsid w:val="008D33D6"/>
    <w:rsid w:val="008D43AA"/>
    <w:rsid w:val="008E0156"/>
    <w:rsid w:val="008E021A"/>
    <w:rsid w:val="008E10D1"/>
    <w:rsid w:val="008E5622"/>
    <w:rsid w:val="008E5A9D"/>
    <w:rsid w:val="008E6703"/>
    <w:rsid w:val="008E6E22"/>
    <w:rsid w:val="008F1C10"/>
    <w:rsid w:val="008F3378"/>
    <w:rsid w:val="008F339B"/>
    <w:rsid w:val="00900211"/>
    <w:rsid w:val="00904BCC"/>
    <w:rsid w:val="00911C8D"/>
    <w:rsid w:val="00914BB1"/>
    <w:rsid w:val="009155FD"/>
    <w:rsid w:val="00916F01"/>
    <w:rsid w:val="00926E4B"/>
    <w:rsid w:val="00927B8A"/>
    <w:rsid w:val="00931DDC"/>
    <w:rsid w:val="00934A8E"/>
    <w:rsid w:val="00936918"/>
    <w:rsid w:val="0094245E"/>
    <w:rsid w:val="00942B20"/>
    <w:rsid w:val="0094679B"/>
    <w:rsid w:val="00946C63"/>
    <w:rsid w:val="00946CB4"/>
    <w:rsid w:val="009507DC"/>
    <w:rsid w:val="00951066"/>
    <w:rsid w:val="009515DF"/>
    <w:rsid w:val="00952C86"/>
    <w:rsid w:val="0095735B"/>
    <w:rsid w:val="00964683"/>
    <w:rsid w:val="009731DF"/>
    <w:rsid w:val="009740DC"/>
    <w:rsid w:val="00975798"/>
    <w:rsid w:val="00976C0C"/>
    <w:rsid w:val="00977C30"/>
    <w:rsid w:val="00984B9B"/>
    <w:rsid w:val="009861B5"/>
    <w:rsid w:val="0098640A"/>
    <w:rsid w:val="009864D0"/>
    <w:rsid w:val="00992613"/>
    <w:rsid w:val="0099329C"/>
    <w:rsid w:val="00993872"/>
    <w:rsid w:val="00994E5F"/>
    <w:rsid w:val="009A1238"/>
    <w:rsid w:val="009A251F"/>
    <w:rsid w:val="009A253A"/>
    <w:rsid w:val="009A76D2"/>
    <w:rsid w:val="009B0906"/>
    <w:rsid w:val="009B1868"/>
    <w:rsid w:val="009B2440"/>
    <w:rsid w:val="009B426D"/>
    <w:rsid w:val="009B672D"/>
    <w:rsid w:val="009C5A38"/>
    <w:rsid w:val="009C6637"/>
    <w:rsid w:val="009D2258"/>
    <w:rsid w:val="009D5EAB"/>
    <w:rsid w:val="009D681B"/>
    <w:rsid w:val="009E514F"/>
    <w:rsid w:val="009E5533"/>
    <w:rsid w:val="009F14A7"/>
    <w:rsid w:val="009F3A29"/>
    <w:rsid w:val="00A024C6"/>
    <w:rsid w:val="00A04A91"/>
    <w:rsid w:val="00A04B15"/>
    <w:rsid w:val="00A14B38"/>
    <w:rsid w:val="00A16088"/>
    <w:rsid w:val="00A17EB6"/>
    <w:rsid w:val="00A2188F"/>
    <w:rsid w:val="00A2263D"/>
    <w:rsid w:val="00A22C5F"/>
    <w:rsid w:val="00A2347C"/>
    <w:rsid w:val="00A27753"/>
    <w:rsid w:val="00A30643"/>
    <w:rsid w:val="00A33A14"/>
    <w:rsid w:val="00A36BAE"/>
    <w:rsid w:val="00A36D9E"/>
    <w:rsid w:val="00A43223"/>
    <w:rsid w:val="00A43D2A"/>
    <w:rsid w:val="00A44996"/>
    <w:rsid w:val="00A45976"/>
    <w:rsid w:val="00A45B3B"/>
    <w:rsid w:val="00A47898"/>
    <w:rsid w:val="00A512B3"/>
    <w:rsid w:val="00A53175"/>
    <w:rsid w:val="00A539A2"/>
    <w:rsid w:val="00A57E28"/>
    <w:rsid w:val="00A641E1"/>
    <w:rsid w:val="00A66316"/>
    <w:rsid w:val="00A7603B"/>
    <w:rsid w:val="00A809E1"/>
    <w:rsid w:val="00A82243"/>
    <w:rsid w:val="00A84E68"/>
    <w:rsid w:val="00A84F5A"/>
    <w:rsid w:val="00A85EEC"/>
    <w:rsid w:val="00A91355"/>
    <w:rsid w:val="00A9578C"/>
    <w:rsid w:val="00A97C4C"/>
    <w:rsid w:val="00AA226B"/>
    <w:rsid w:val="00AA3C75"/>
    <w:rsid w:val="00AA479F"/>
    <w:rsid w:val="00AA506F"/>
    <w:rsid w:val="00AA707B"/>
    <w:rsid w:val="00AB20A1"/>
    <w:rsid w:val="00AB29B6"/>
    <w:rsid w:val="00AB2B9F"/>
    <w:rsid w:val="00AB4432"/>
    <w:rsid w:val="00AB5774"/>
    <w:rsid w:val="00AB6936"/>
    <w:rsid w:val="00AB6E2B"/>
    <w:rsid w:val="00AC0718"/>
    <w:rsid w:val="00AD22F9"/>
    <w:rsid w:val="00AD3B88"/>
    <w:rsid w:val="00AD446F"/>
    <w:rsid w:val="00AD7CD0"/>
    <w:rsid w:val="00AE0180"/>
    <w:rsid w:val="00AE111C"/>
    <w:rsid w:val="00AF0281"/>
    <w:rsid w:val="00AF092A"/>
    <w:rsid w:val="00AF1F15"/>
    <w:rsid w:val="00AF3D24"/>
    <w:rsid w:val="00AF7A16"/>
    <w:rsid w:val="00B039C2"/>
    <w:rsid w:val="00B0412F"/>
    <w:rsid w:val="00B04817"/>
    <w:rsid w:val="00B06228"/>
    <w:rsid w:val="00B13544"/>
    <w:rsid w:val="00B2341F"/>
    <w:rsid w:val="00B23C6B"/>
    <w:rsid w:val="00B254A6"/>
    <w:rsid w:val="00B258DE"/>
    <w:rsid w:val="00B26AD1"/>
    <w:rsid w:val="00B26B80"/>
    <w:rsid w:val="00B30BF3"/>
    <w:rsid w:val="00B353A6"/>
    <w:rsid w:val="00B41943"/>
    <w:rsid w:val="00B43E41"/>
    <w:rsid w:val="00B47783"/>
    <w:rsid w:val="00B51FE9"/>
    <w:rsid w:val="00B52138"/>
    <w:rsid w:val="00B52D8A"/>
    <w:rsid w:val="00B53225"/>
    <w:rsid w:val="00B60D59"/>
    <w:rsid w:val="00B62F42"/>
    <w:rsid w:val="00B62FF6"/>
    <w:rsid w:val="00B64CAD"/>
    <w:rsid w:val="00B663BD"/>
    <w:rsid w:val="00B676F4"/>
    <w:rsid w:val="00B7456E"/>
    <w:rsid w:val="00B76B80"/>
    <w:rsid w:val="00B812F7"/>
    <w:rsid w:val="00B81BB2"/>
    <w:rsid w:val="00B821A8"/>
    <w:rsid w:val="00B8292E"/>
    <w:rsid w:val="00B84C19"/>
    <w:rsid w:val="00B8636F"/>
    <w:rsid w:val="00B9101E"/>
    <w:rsid w:val="00B94DF6"/>
    <w:rsid w:val="00B95E48"/>
    <w:rsid w:val="00B966F8"/>
    <w:rsid w:val="00BB0AB4"/>
    <w:rsid w:val="00BB188C"/>
    <w:rsid w:val="00BB33B5"/>
    <w:rsid w:val="00BB3A61"/>
    <w:rsid w:val="00BB77F4"/>
    <w:rsid w:val="00BC1BEF"/>
    <w:rsid w:val="00BC58F8"/>
    <w:rsid w:val="00BC64A4"/>
    <w:rsid w:val="00BD0E79"/>
    <w:rsid w:val="00BD2B67"/>
    <w:rsid w:val="00BD3364"/>
    <w:rsid w:val="00BD6E74"/>
    <w:rsid w:val="00BD7670"/>
    <w:rsid w:val="00BD7B69"/>
    <w:rsid w:val="00BE20C0"/>
    <w:rsid w:val="00BE69B7"/>
    <w:rsid w:val="00BF0295"/>
    <w:rsid w:val="00BF0EF3"/>
    <w:rsid w:val="00BF0F91"/>
    <w:rsid w:val="00BF3902"/>
    <w:rsid w:val="00BF5207"/>
    <w:rsid w:val="00BF5A7B"/>
    <w:rsid w:val="00BF73DC"/>
    <w:rsid w:val="00BF7CBB"/>
    <w:rsid w:val="00C02BC0"/>
    <w:rsid w:val="00C03F89"/>
    <w:rsid w:val="00C0B1CF"/>
    <w:rsid w:val="00C122AE"/>
    <w:rsid w:val="00C152AC"/>
    <w:rsid w:val="00C1610F"/>
    <w:rsid w:val="00C21D66"/>
    <w:rsid w:val="00C22BC8"/>
    <w:rsid w:val="00C23891"/>
    <w:rsid w:val="00C25EC4"/>
    <w:rsid w:val="00C306FF"/>
    <w:rsid w:val="00C3175E"/>
    <w:rsid w:val="00C31AD1"/>
    <w:rsid w:val="00C32E55"/>
    <w:rsid w:val="00C37F11"/>
    <w:rsid w:val="00C40FF8"/>
    <w:rsid w:val="00C42ABB"/>
    <w:rsid w:val="00C519B0"/>
    <w:rsid w:val="00C54E3F"/>
    <w:rsid w:val="00C56F21"/>
    <w:rsid w:val="00C71C2D"/>
    <w:rsid w:val="00C72608"/>
    <w:rsid w:val="00C72DE0"/>
    <w:rsid w:val="00C747AB"/>
    <w:rsid w:val="00C77213"/>
    <w:rsid w:val="00C77342"/>
    <w:rsid w:val="00C817BC"/>
    <w:rsid w:val="00C8393B"/>
    <w:rsid w:val="00C84A73"/>
    <w:rsid w:val="00C85193"/>
    <w:rsid w:val="00C86A47"/>
    <w:rsid w:val="00C916E4"/>
    <w:rsid w:val="00C94740"/>
    <w:rsid w:val="00CA1C9C"/>
    <w:rsid w:val="00CA1FDD"/>
    <w:rsid w:val="00CA7FF1"/>
    <w:rsid w:val="00CB3432"/>
    <w:rsid w:val="00CB42F7"/>
    <w:rsid w:val="00CB5508"/>
    <w:rsid w:val="00CB609A"/>
    <w:rsid w:val="00CB7883"/>
    <w:rsid w:val="00CC00F9"/>
    <w:rsid w:val="00CC5B11"/>
    <w:rsid w:val="00CC7B5F"/>
    <w:rsid w:val="00CD2D87"/>
    <w:rsid w:val="00CD4068"/>
    <w:rsid w:val="00CD4473"/>
    <w:rsid w:val="00CD7332"/>
    <w:rsid w:val="00CD75C3"/>
    <w:rsid w:val="00CD7BE2"/>
    <w:rsid w:val="00CE0D4C"/>
    <w:rsid w:val="00CE16F1"/>
    <w:rsid w:val="00CE1DDA"/>
    <w:rsid w:val="00CE4813"/>
    <w:rsid w:val="00CF1C0B"/>
    <w:rsid w:val="00CF678C"/>
    <w:rsid w:val="00D03147"/>
    <w:rsid w:val="00D0319D"/>
    <w:rsid w:val="00D04B97"/>
    <w:rsid w:val="00D0730F"/>
    <w:rsid w:val="00D074B1"/>
    <w:rsid w:val="00D07C78"/>
    <w:rsid w:val="00D168F5"/>
    <w:rsid w:val="00D170C9"/>
    <w:rsid w:val="00D20C4A"/>
    <w:rsid w:val="00D22202"/>
    <w:rsid w:val="00D254DA"/>
    <w:rsid w:val="00D27C0A"/>
    <w:rsid w:val="00D312D4"/>
    <w:rsid w:val="00D3293C"/>
    <w:rsid w:val="00D34688"/>
    <w:rsid w:val="00D37ACC"/>
    <w:rsid w:val="00D41006"/>
    <w:rsid w:val="00D45BC8"/>
    <w:rsid w:val="00D60859"/>
    <w:rsid w:val="00D650C8"/>
    <w:rsid w:val="00D719E8"/>
    <w:rsid w:val="00D75F63"/>
    <w:rsid w:val="00D7791B"/>
    <w:rsid w:val="00D86559"/>
    <w:rsid w:val="00D92380"/>
    <w:rsid w:val="00D93602"/>
    <w:rsid w:val="00D94204"/>
    <w:rsid w:val="00D97423"/>
    <w:rsid w:val="00DA1129"/>
    <w:rsid w:val="00DA320C"/>
    <w:rsid w:val="00DA3CB2"/>
    <w:rsid w:val="00DA64F0"/>
    <w:rsid w:val="00DB0200"/>
    <w:rsid w:val="00DB69C0"/>
    <w:rsid w:val="00DC1BAE"/>
    <w:rsid w:val="00DC454B"/>
    <w:rsid w:val="00DC5379"/>
    <w:rsid w:val="00DC60DC"/>
    <w:rsid w:val="00DC7386"/>
    <w:rsid w:val="00DD4BA7"/>
    <w:rsid w:val="00DD4DC1"/>
    <w:rsid w:val="00DD5051"/>
    <w:rsid w:val="00DD7981"/>
    <w:rsid w:val="00DF0287"/>
    <w:rsid w:val="00DF0EAA"/>
    <w:rsid w:val="00DF1A15"/>
    <w:rsid w:val="00DF6DDF"/>
    <w:rsid w:val="00E01301"/>
    <w:rsid w:val="00E021A9"/>
    <w:rsid w:val="00E02322"/>
    <w:rsid w:val="00E02348"/>
    <w:rsid w:val="00E02390"/>
    <w:rsid w:val="00E13D83"/>
    <w:rsid w:val="00E20282"/>
    <w:rsid w:val="00E232ED"/>
    <w:rsid w:val="00E27922"/>
    <w:rsid w:val="00E306E0"/>
    <w:rsid w:val="00E34360"/>
    <w:rsid w:val="00E360BF"/>
    <w:rsid w:val="00E36DA2"/>
    <w:rsid w:val="00E36F7F"/>
    <w:rsid w:val="00E4037C"/>
    <w:rsid w:val="00E50981"/>
    <w:rsid w:val="00E50B7E"/>
    <w:rsid w:val="00E51A04"/>
    <w:rsid w:val="00E528BF"/>
    <w:rsid w:val="00E52D68"/>
    <w:rsid w:val="00E553DB"/>
    <w:rsid w:val="00E55AA6"/>
    <w:rsid w:val="00E56186"/>
    <w:rsid w:val="00E56A0F"/>
    <w:rsid w:val="00E633B6"/>
    <w:rsid w:val="00E640F1"/>
    <w:rsid w:val="00E662F3"/>
    <w:rsid w:val="00E77443"/>
    <w:rsid w:val="00E80C0D"/>
    <w:rsid w:val="00E81901"/>
    <w:rsid w:val="00E91FD3"/>
    <w:rsid w:val="00E93AD4"/>
    <w:rsid w:val="00E93FED"/>
    <w:rsid w:val="00E96A2C"/>
    <w:rsid w:val="00E9717B"/>
    <w:rsid w:val="00EA0273"/>
    <w:rsid w:val="00EA23D5"/>
    <w:rsid w:val="00EA7A51"/>
    <w:rsid w:val="00EA7A68"/>
    <w:rsid w:val="00EB2673"/>
    <w:rsid w:val="00EC2571"/>
    <w:rsid w:val="00EC2A90"/>
    <w:rsid w:val="00EC4348"/>
    <w:rsid w:val="00ED1F4C"/>
    <w:rsid w:val="00ED457E"/>
    <w:rsid w:val="00ED5867"/>
    <w:rsid w:val="00ED5FFF"/>
    <w:rsid w:val="00ED7A68"/>
    <w:rsid w:val="00EE00DF"/>
    <w:rsid w:val="00EE1C23"/>
    <w:rsid w:val="00EE2E2C"/>
    <w:rsid w:val="00EE6901"/>
    <w:rsid w:val="00EE6CFF"/>
    <w:rsid w:val="00EE73DA"/>
    <w:rsid w:val="00EF307C"/>
    <w:rsid w:val="00EF57B1"/>
    <w:rsid w:val="00EF66E9"/>
    <w:rsid w:val="00EF6C07"/>
    <w:rsid w:val="00F016BD"/>
    <w:rsid w:val="00F01749"/>
    <w:rsid w:val="00F0228A"/>
    <w:rsid w:val="00F109A2"/>
    <w:rsid w:val="00F10D4F"/>
    <w:rsid w:val="00F11559"/>
    <w:rsid w:val="00F12DA2"/>
    <w:rsid w:val="00F14D91"/>
    <w:rsid w:val="00F152F7"/>
    <w:rsid w:val="00F2147D"/>
    <w:rsid w:val="00F21C64"/>
    <w:rsid w:val="00F238BC"/>
    <w:rsid w:val="00F2AC5C"/>
    <w:rsid w:val="00F32671"/>
    <w:rsid w:val="00F34D24"/>
    <w:rsid w:val="00F4260E"/>
    <w:rsid w:val="00F450DD"/>
    <w:rsid w:val="00F52BB7"/>
    <w:rsid w:val="00F53FEF"/>
    <w:rsid w:val="00F565E3"/>
    <w:rsid w:val="00F61FD9"/>
    <w:rsid w:val="00F6367D"/>
    <w:rsid w:val="00F645D9"/>
    <w:rsid w:val="00F6677C"/>
    <w:rsid w:val="00F679D6"/>
    <w:rsid w:val="00F7030E"/>
    <w:rsid w:val="00F7034E"/>
    <w:rsid w:val="00F72AE1"/>
    <w:rsid w:val="00F733E8"/>
    <w:rsid w:val="00F73BB0"/>
    <w:rsid w:val="00F771A5"/>
    <w:rsid w:val="00F84186"/>
    <w:rsid w:val="00F842DA"/>
    <w:rsid w:val="00F852F7"/>
    <w:rsid w:val="00F854FF"/>
    <w:rsid w:val="00F8585B"/>
    <w:rsid w:val="00F8604C"/>
    <w:rsid w:val="00F96B07"/>
    <w:rsid w:val="00FA0C01"/>
    <w:rsid w:val="00FA5A6C"/>
    <w:rsid w:val="00FA7BE6"/>
    <w:rsid w:val="00FB09DD"/>
    <w:rsid w:val="00FB0BF9"/>
    <w:rsid w:val="00FB20CC"/>
    <w:rsid w:val="00FB49E4"/>
    <w:rsid w:val="00FB65B0"/>
    <w:rsid w:val="00FC0A9B"/>
    <w:rsid w:val="00FC1288"/>
    <w:rsid w:val="00FC284B"/>
    <w:rsid w:val="00FC61FF"/>
    <w:rsid w:val="00FD206A"/>
    <w:rsid w:val="00FD4E8F"/>
    <w:rsid w:val="00FD641C"/>
    <w:rsid w:val="00FD6CC7"/>
    <w:rsid w:val="00FD6D1A"/>
    <w:rsid w:val="00FE0BE4"/>
    <w:rsid w:val="00FE6CE8"/>
    <w:rsid w:val="00FF02E4"/>
    <w:rsid w:val="00FF0D92"/>
    <w:rsid w:val="00FF2DFB"/>
    <w:rsid w:val="00FF49EF"/>
    <w:rsid w:val="00FF5181"/>
    <w:rsid w:val="00FF541D"/>
    <w:rsid w:val="0105A784"/>
    <w:rsid w:val="010B6D9E"/>
    <w:rsid w:val="011CC929"/>
    <w:rsid w:val="012F2C41"/>
    <w:rsid w:val="01318FB5"/>
    <w:rsid w:val="0135FCF0"/>
    <w:rsid w:val="01368580"/>
    <w:rsid w:val="0136A58B"/>
    <w:rsid w:val="013C451E"/>
    <w:rsid w:val="013F0FC0"/>
    <w:rsid w:val="0149196B"/>
    <w:rsid w:val="0149AFE0"/>
    <w:rsid w:val="014A7509"/>
    <w:rsid w:val="014AB398"/>
    <w:rsid w:val="014C4E67"/>
    <w:rsid w:val="015D59F2"/>
    <w:rsid w:val="0188B6C2"/>
    <w:rsid w:val="0199E88B"/>
    <w:rsid w:val="019F88A3"/>
    <w:rsid w:val="01BCD29E"/>
    <w:rsid w:val="01CE950F"/>
    <w:rsid w:val="01D684CD"/>
    <w:rsid w:val="01E73F69"/>
    <w:rsid w:val="01EFD881"/>
    <w:rsid w:val="01F3E1AB"/>
    <w:rsid w:val="01F7292D"/>
    <w:rsid w:val="02018A7C"/>
    <w:rsid w:val="020BE57B"/>
    <w:rsid w:val="020D7C45"/>
    <w:rsid w:val="0229DE02"/>
    <w:rsid w:val="0230F746"/>
    <w:rsid w:val="023BF101"/>
    <w:rsid w:val="023CB2CE"/>
    <w:rsid w:val="023DADB5"/>
    <w:rsid w:val="0240AB4A"/>
    <w:rsid w:val="0248113C"/>
    <w:rsid w:val="024BCAEF"/>
    <w:rsid w:val="024C3DBD"/>
    <w:rsid w:val="02590725"/>
    <w:rsid w:val="026AC34D"/>
    <w:rsid w:val="0279F624"/>
    <w:rsid w:val="0288A1E6"/>
    <w:rsid w:val="02A47D62"/>
    <w:rsid w:val="02A60322"/>
    <w:rsid w:val="02C90822"/>
    <w:rsid w:val="02CD131C"/>
    <w:rsid w:val="02D32027"/>
    <w:rsid w:val="02E83A70"/>
    <w:rsid w:val="02F1BC13"/>
    <w:rsid w:val="02F36392"/>
    <w:rsid w:val="030F573D"/>
    <w:rsid w:val="0346DEA1"/>
    <w:rsid w:val="034E435C"/>
    <w:rsid w:val="034F3D28"/>
    <w:rsid w:val="035CE6DE"/>
    <w:rsid w:val="03751910"/>
    <w:rsid w:val="03767E80"/>
    <w:rsid w:val="03863518"/>
    <w:rsid w:val="038938E1"/>
    <w:rsid w:val="038AA97C"/>
    <w:rsid w:val="039C19D8"/>
    <w:rsid w:val="03A8B4CD"/>
    <w:rsid w:val="03AAA543"/>
    <w:rsid w:val="03ACC611"/>
    <w:rsid w:val="03B70D22"/>
    <w:rsid w:val="03B7DD71"/>
    <w:rsid w:val="03C1FED0"/>
    <w:rsid w:val="03C5AB5C"/>
    <w:rsid w:val="03C7DE08"/>
    <w:rsid w:val="03DE2866"/>
    <w:rsid w:val="03EAACCF"/>
    <w:rsid w:val="04071A90"/>
    <w:rsid w:val="040C88D2"/>
    <w:rsid w:val="041A72F8"/>
    <w:rsid w:val="0421CC92"/>
    <w:rsid w:val="04596439"/>
    <w:rsid w:val="048FA139"/>
    <w:rsid w:val="0491C080"/>
    <w:rsid w:val="0497AD72"/>
    <w:rsid w:val="0497CED7"/>
    <w:rsid w:val="04A56B7F"/>
    <w:rsid w:val="04AA9E4E"/>
    <w:rsid w:val="04AB9334"/>
    <w:rsid w:val="04CC5F27"/>
    <w:rsid w:val="04CF56F8"/>
    <w:rsid w:val="04CF7995"/>
    <w:rsid w:val="04D2816E"/>
    <w:rsid w:val="04D795BD"/>
    <w:rsid w:val="04D998B9"/>
    <w:rsid w:val="04EFA3B1"/>
    <w:rsid w:val="04F8FCA5"/>
    <w:rsid w:val="0501CBCA"/>
    <w:rsid w:val="052B4257"/>
    <w:rsid w:val="0533897F"/>
    <w:rsid w:val="05340F7D"/>
    <w:rsid w:val="0537875C"/>
    <w:rsid w:val="054392BF"/>
    <w:rsid w:val="0546FBDA"/>
    <w:rsid w:val="0561FE58"/>
    <w:rsid w:val="0572802E"/>
    <w:rsid w:val="05747F34"/>
    <w:rsid w:val="0582C4E8"/>
    <w:rsid w:val="05857FF8"/>
    <w:rsid w:val="058875E2"/>
    <w:rsid w:val="05899BB3"/>
    <w:rsid w:val="0595209A"/>
    <w:rsid w:val="05A0E51B"/>
    <w:rsid w:val="05B5D25C"/>
    <w:rsid w:val="05BA51C2"/>
    <w:rsid w:val="05C4AE52"/>
    <w:rsid w:val="05CF2905"/>
    <w:rsid w:val="05DAE810"/>
    <w:rsid w:val="05ED5748"/>
    <w:rsid w:val="05EF39C5"/>
    <w:rsid w:val="05F59566"/>
    <w:rsid w:val="05FBE8FD"/>
    <w:rsid w:val="060F2BAC"/>
    <w:rsid w:val="061C72F3"/>
    <w:rsid w:val="0627EE99"/>
    <w:rsid w:val="062A756E"/>
    <w:rsid w:val="062DE5E2"/>
    <w:rsid w:val="063E9538"/>
    <w:rsid w:val="0650BC6F"/>
    <w:rsid w:val="0655B25F"/>
    <w:rsid w:val="065C1F7D"/>
    <w:rsid w:val="066CECBF"/>
    <w:rsid w:val="06C927F1"/>
    <w:rsid w:val="06DA2108"/>
    <w:rsid w:val="06DA9606"/>
    <w:rsid w:val="06DDBB29"/>
    <w:rsid w:val="06E0166C"/>
    <w:rsid w:val="06E805AB"/>
    <w:rsid w:val="06FA4401"/>
    <w:rsid w:val="0705D042"/>
    <w:rsid w:val="070BEE65"/>
    <w:rsid w:val="070EDBEF"/>
    <w:rsid w:val="0711459B"/>
    <w:rsid w:val="071B8EFF"/>
    <w:rsid w:val="07250951"/>
    <w:rsid w:val="0726C785"/>
    <w:rsid w:val="073092BB"/>
    <w:rsid w:val="073A8F88"/>
    <w:rsid w:val="0755AE9F"/>
    <w:rsid w:val="075F3711"/>
    <w:rsid w:val="0760DD2A"/>
    <w:rsid w:val="0771C0AB"/>
    <w:rsid w:val="077DB0D4"/>
    <w:rsid w:val="07CA79D0"/>
    <w:rsid w:val="07CC5B24"/>
    <w:rsid w:val="07EC5C85"/>
    <w:rsid w:val="07EE0CEC"/>
    <w:rsid w:val="08194520"/>
    <w:rsid w:val="082C6681"/>
    <w:rsid w:val="0835FCDE"/>
    <w:rsid w:val="083C79A4"/>
    <w:rsid w:val="0843CA98"/>
    <w:rsid w:val="08538C01"/>
    <w:rsid w:val="085F0E6A"/>
    <w:rsid w:val="08765186"/>
    <w:rsid w:val="087F320B"/>
    <w:rsid w:val="08849796"/>
    <w:rsid w:val="089B35F4"/>
    <w:rsid w:val="089D96B5"/>
    <w:rsid w:val="08A24B44"/>
    <w:rsid w:val="08D67F84"/>
    <w:rsid w:val="08DA5ABE"/>
    <w:rsid w:val="08E6AF8A"/>
    <w:rsid w:val="08E919F5"/>
    <w:rsid w:val="08FAEEC4"/>
    <w:rsid w:val="0917762B"/>
    <w:rsid w:val="091B903E"/>
    <w:rsid w:val="09291BFB"/>
    <w:rsid w:val="095B45A1"/>
    <w:rsid w:val="09611C77"/>
    <w:rsid w:val="09623A6C"/>
    <w:rsid w:val="09657440"/>
    <w:rsid w:val="096BED43"/>
    <w:rsid w:val="0974F764"/>
    <w:rsid w:val="097BD492"/>
    <w:rsid w:val="09824A18"/>
    <w:rsid w:val="0988EAFB"/>
    <w:rsid w:val="0993B189"/>
    <w:rsid w:val="09A4C04D"/>
    <w:rsid w:val="09AD1E9B"/>
    <w:rsid w:val="09B1D66E"/>
    <w:rsid w:val="09C083E5"/>
    <w:rsid w:val="09DC2045"/>
    <w:rsid w:val="09F040EC"/>
    <w:rsid w:val="0A00907F"/>
    <w:rsid w:val="0A0CC83D"/>
    <w:rsid w:val="0A1BF80D"/>
    <w:rsid w:val="0A3A9DA7"/>
    <w:rsid w:val="0A46DAEA"/>
    <w:rsid w:val="0A489CFC"/>
    <w:rsid w:val="0A49484F"/>
    <w:rsid w:val="0A53F527"/>
    <w:rsid w:val="0A564057"/>
    <w:rsid w:val="0A58B47E"/>
    <w:rsid w:val="0A5B82E0"/>
    <w:rsid w:val="0A60BCF6"/>
    <w:rsid w:val="0A6C7C08"/>
    <w:rsid w:val="0A70203C"/>
    <w:rsid w:val="0A8E2A5A"/>
    <w:rsid w:val="0A8F54E6"/>
    <w:rsid w:val="0A9B430D"/>
    <w:rsid w:val="0A9C8968"/>
    <w:rsid w:val="0AA80E2C"/>
    <w:rsid w:val="0AA8FD52"/>
    <w:rsid w:val="0AAC7714"/>
    <w:rsid w:val="0ABF9DEC"/>
    <w:rsid w:val="0AC1E00B"/>
    <w:rsid w:val="0AC87780"/>
    <w:rsid w:val="0ACB6DDB"/>
    <w:rsid w:val="0AD41300"/>
    <w:rsid w:val="0ADDFAB6"/>
    <w:rsid w:val="0ADF0D79"/>
    <w:rsid w:val="0AE01129"/>
    <w:rsid w:val="0AEB99A6"/>
    <w:rsid w:val="0AFB705E"/>
    <w:rsid w:val="0B05124B"/>
    <w:rsid w:val="0B06AF46"/>
    <w:rsid w:val="0B1867F6"/>
    <w:rsid w:val="0B1BCE23"/>
    <w:rsid w:val="0B2FB9DF"/>
    <w:rsid w:val="0B3F28ED"/>
    <w:rsid w:val="0B3FB249"/>
    <w:rsid w:val="0B4A9577"/>
    <w:rsid w:val="0B4CC0BD"/>
    <w:rsid w:val="0B501BB5"/>
    <w:rsid w:val="0B527A64"/>
    <w:rsid w:val="0B54FC57"/>
    <w:rsid w:val="0B5D832E"/>
    <w:rsid w:val="0B62EDC2"/>
    <w:rsid w:val="0B758AF8"/>
    <w:rsid w:val="0B848F63"/>
    <w:rsid w:val="0B8ECE6A"/>
    <w:rsid w:val="0B9E7129"/>
    <w:rsid w:val="0BA669FC"/>
    <w:rsid w:val="0BA75BAD"/>
    <w:rsid w:val="0BC7573B"/>
    <w:rsid w:val="0BD3C7AB"/>
    <w:rsid w:val="0BD75646"/>
    <w:rsid w:val="0BD8CEEF"/>
    <w:rsid w:val="0BDD5D94"/>
    <w:rsid w:val="0BF79EE5"/>
    <w:rsid w:val="0C000753"/>
    <w:rsid w:val="0C01514B"/>
    <w:rsid w:val="0C0B685E"/>
    <w:rsid w:val="0C1B2F17"/>
    <w:rsid w:val="0C1C20A0"/>
    <w:rsid w:val="0C35DD81"/>
    <w:rsid w:val="0C4D95C9"/>
    <w:rsid w:val="0C556FC8"/>
    <w:rsid w:val="0C5EFA29"/>
    <w:rsid w:val="0C628D5E"/>
    <w:rsid w:val="0C778FA2"/>
    <w:rsid w:val="0C92C205"/>
    <w:rsid w:val="0C97B986"/>
    <w:rsid w:val="0CB4D51F"/>
    <w:rsid w:val="0CDA0E11"/>
    <w:rsid w:val="0CE1DF7D"/>
    <w:rsid w:val="0CE3FD41"/>
    <w:rsid w:val="0CF7A3E3"/>
    <w:rsid w:val="0CFA47B9"/>
    <w:rsid w:val="0D0325D0"/>
    <w:rsid w:val="0D048E85"/>
    <w:rsid w:val="0D05DB6F"/>
    <w:rsid w:val="0D10893A"/>
    <w:rsid w:val="0D19B8BD"/>
    <w:rsid w:val="0D21FB72"/>
    <w:rsid w:val="0D29F737"/>
    <w:rsid w:val="0D2F5225"/>
    <w:rsid w:val="0D2F655A"/>
    <w:rsid w:val="0D36B5F9"/>
    <w:rsid w:val="0D471638"/>
    <w:rsid w:val="0D596E02"/>
    <w:rsid w:val="0D65F8E1"/>
    <w:rsid w:val="0D9AB36B"/>
    <w:rsid w:val="0DAE5AD2"/>
    <w:rsid w:val="0DB9EB34"/>
    <w:rsid w:val="0DC5E837"/>
    <w:rsid w:val="0DC65473"/>
    <w:rsid w:val="0DCF7D29"/>
    <w:rsid w:val="0DE46F06"/>
    <w:rsid w:val="0DE88513"/>
    <w:rsid w:val="0DEA7E52"/>
    <w:rsid w:val="0DF5B6E6"/>
    <w:rsid w:val="0DF8B7CB"/>
    <w:rsid w:val="0DFA08AF"/>
    <w:rsid w:val="0DFD854B"/>
    <w:rsid w:val="0E052DB0"/>
    <w:rsid w:val="0E0DC68D"/>
    <w:rsid w:val="0E154EB4"/>
    <w:rsid w:val="0E160D6B"/>
    <w:rsid w:val="0E1FF6AD"/>
    <w:rsid w:val="0E29113B"/>
    <w:rsid w:val="0E3C4A42"/>
    <w:rsid w:val="0E3F7972"/>
    <w:rsid w:val="0E401A62"/>
    <w:rsid w:val="0E40C9AD"/>
    <w:rsid w:val="0E497E3F"/>
    <w:rsid w:val="0E5A55E3"/>
    <w:rsid w:val="0E64E3DB"/>
    <w:rsid w:val="0E6D5658"/>
    <w:rsid w:val="0E6F6574"/>
    <w:rsid w:val="0E78D0DA"/>
    <w:rsid w:val="0E7D5BD2"/>
    <w:rsid w:val="0E8B3D6C"/>
    <w:rsid w:val="0E92D4CE"/>
    <w:rsid w:val="0EB96748"/>
    <w:rsid w:val="0ED3BCFF"/>
    <w:rsid w:val="0ED97791"/>
    <w:rsid w:val="0EF128D7"/>
    <w:rsid w:val="0EFA3A7F"/>
    <w:rsid w:val="0F0EEDF7"/>
    <w:rsid w:val="0F1B11F1"/>
    <w:rsid w:val="0F2FB658"/>
    <w:rsid w:val="0F338A67"/>
    <w:rsid w:val="0F36E8D5"/>
    <w:rsid w:val="0F431A91"/>
    <w:rsid w:val="0F4E81B9"/>
    <w:rsid w:val="0F55BA94"/>
    <w:rsid w:val="0F57E751"/>
    <w:rsid w:val="0F5D9DFE"/>
    <w:rsid w:val="0F768B2D"/>
    <w:rsid w:val="0F7EF169"/>
    <w:rsid w:val="0F8B9AA4"/>
    <w:rsid w:val="0F8CEF12"/>
    <w:rsid w:val="0F9609B4"/>
    <w:rsid w:val="0F96AE9F"/>
    <w:rsid w:val="0F99DCDA"/>
    <w:rsid w:val="0F9E4BCF"/>
    <w:rsid w:val="0F9EC65E"/>
    <w:rsid w:val="0FA2D321"/>
    <w:rsid w:val="0FADA657"/>
    <w:rsid w:val="0FB99A07"/>
    <w:rsid w:val="0FD2C69C"/>
    <w:rsid w:val="0FDC0173"/>
    <w:rsid w:val="1014E2E2"/>
    <w:rsid w:val="10199A7B"/>
    <w:rsid w:val="10246FB1"/>
    <w:rsid w:val="10285A28"/>
    <w:rsid w:val="1028ED37"/>
    <w:rsid w:val="104E61A1"/>
    <w:rsid w:val="105720FE"/>
    <w:rsid w:val="106542E7"/>
    <w:rsid w:val="106ED5E5"/>
    <w:rsid w:val="107A90D1"/>
    <w:rsid w:val="1089CFA8"/>
    <w:rsid w:val="108BCA6C"/>
    <w:rsid w:val="108F42C6"/>
    <w:rsid w:val="109A9D30"/>
    <w:rsid w:val="10BF5FC5"/>
    <w:rsid w:val="10C16609"/>
    <w:rsid w:val="10C806B0"/>
    <w:rsid w:val="10D362CD"/>
    <w:rsid w:val="10DEF02C"/>
    <w:rsid w:val="10E6CB95"/>
    <w:rsid w:val="10E76EF1"/>
    <w:rsid w:val="1110B088"/>
    <w:rsid w:val="1110D2B2"/>
    <w:rsid w:val="111774D5"/>
    <w:rsid w:val="112FB19F"/>
    <w:rsid w:val="1130340B"/>
    <w:rsid w:val="1145D562"/>
    <w:rsid w:val="11549009"/>
    <w:rsid w:val="11784C13"/>
    <w:rsid w:val="117E44F0"/>
    <w:rsid w:val="118EB1F8"/>
    <w:rsid w:val="1197B9CD"/>
    <w:rsid w:val="11A22428"/>
    <w:rsid w:val="11AD732C"/>
    <w:rsid w:val="11B36B10"/>
    <w:rsid w:val="11E0B8C7"/>
    <w:rsid w:val="11F2A3DF"/>
    <w:rsid w:val="11F9426C"/>
    <w:rsid w:val="11FD4047"/>
    <w:rsid w:val="121AA308"/>
    <w:rsid w:val="1233733F"/>
    <w:rsid w:val="1241C785"/>
    <w:rsid w:val="1244932B"/>
    <w:rsid w:val="1256AA42"/>
    <w:rsid w:val="125C3EE9"/>
    <w:rsid w:val="125C8194"/>
    <w:rsid w:val="12634E7C"/>
    <w:rsid w:val="126674E6"/>
    <w:rsid w:val="126ACDAB"/>
    <w:rsid w:val="126EE6F9"/>
    <w:rsid w:val="128263F3"/>
    <w:rsid w:val="128494B7"/>
    <w:rsid w:val="129DFFD7"/>
    <w:rsid w:val="129EBDFB"/>
    <w:rsid w:val="12A15548"/>
    <w:rsid w:val="12AF9D0C"/>
    <w:rsid w:val="12B709DC"/>
    <w:rsid w:val="12B74C5A"/>
    <w:rsid w:val="12E00FB2"/>
    <w:rsid w:val="1303F03B"/>
    <w:rsid w:val="131CE333"/>
    <w:rsid w:val="131E05A3"/>
    <w:rsid w:val="13313107"/>
    <w:rsid w:val="13490322"/>
    <w:rsid w:val="134FCA8A"/>
    <w:rsid w:val="1353821A"/>
    <w:rsid w:val="13609124"/>
    <w:rsid w:val="1360C11F"/>
    <w:rsid w:val="1363D872"/>
    <w:rsid w:val="13793D51"/>
    <w:rsid w:val="138F6560"/>
    <w:rsid w:val="13AC8CD5"/>
    <w:rsid w:val="13AF5872"/>
    <w:rsid w:val="13D82CEB"/>
    <w:rsid w:val="13E630C7"/>
    <w:rsid w:val="13EF5A36"/>
    <w:rsid w:val="14079523"/>
    <w:rsid w:val="141243BF"/>
    <w:rsid w:val="141A6A86"/>
    <w:rsid w:val="142A280F"/>
    <w:rsid w:val="142C94C7"/>
    <w:rsid w:val="142F18A5"/>
    <w:rsid w:val="14343A5E"/>
    <w:rsid w:val="1461825F"/>
    <w:rsid w:val="14688A8D"/>
    <w:rsid w:val="147B5C18"/>
    <w:rsid w:val="14A6F54D"/>
    <w:rsid w:val="14B51EBE"/>
    <w:rsid w:val="14C0B219"/>
    <w:rsid w:val="14C4CEAA"/>
    <w:rsid w:val="14CD7A22"/>
    <w:rsid w:val="14CD8DE1"/>
    <w:rsid w:val="14CE5E24"/>
    <w:rsid w:val="14E1FC8B"/>
    <w:rsid w:val="14EA46EF"/>
    <w:rsid w:val="14F0B824"/>
    <w:rsid w:val="14F9A27F"/>
    <w:rsid w:val="14FA24DB"/>
    <w:rsid w:val="14FD145F"/>
    <w:rsid w:val="15089C64"/>
    <w:rsid w:val="150FAFBE"/>
    <w:rsid w:val="151C9B12"/>
    <w:rsid w:val="15252F0E"/>
    <w:rsid w:val="15263B2C"/>
    <w:rsid w:val="15297573"/>
    <w:rsid w:val="15631E95"/>
    <w:rsid w:val="156DC900"/>
    <w:rsid w:val="1570A6A6"/>
    <w:rsid w:val="157A50C4"/>
    <w:rsid w:val="1583C126"/>
    <w:rsid w:val="159ACB5A"/>
    <w:rsid w:val="15A0A533"/>
    <w:rsid w:val="15A2EAAB"/>
    <w:rsid w:val="15B26927"/>
    <w:rsid w:val="15BD054B"/>
    <w:rsid w:val="15C75932"/>
    <w:rsid w:val="15D41092"/>
    <w:rsid w:val="15D620A5"/>
    <w:rsid w:val="15DC1422"/>
    <w:rsid w:val="15DE1A0B"/>
    <w:rsid w:val="15E7A27F"/>
    <w:rsid w:val="15E82562"/>
    <w:rsid w:val="15F62949"/>
    <w:rsid w:val="15FA794E"/>
    <w:rsid w:val="15FB67A9"/>
    <w:rsid w:val="1603F658"/>
    <w:rsid w:val="160D4499"/>
    <w:rsid w:val="1610B791"/>
    <w:rsid w:val="16111008"/>
    <w:rsid w:val="1621FE7B"/>
    <w:rsid w:val="16268CCC"/>
    <w:rsid w:val="16371F28"/>
    <w:rsid w:val="16393EA9"/>
    <w:rsid w:val="16443B32"/>
    <w:rsid w:val="166E678E"/>
    <w:rsid w:val="167C5FF0"/>
    <w:rsid w:val="168CD6AE"/>
    <w:rsid w:val="16A41366"/>
    <w:rsid w:val="16A879AE"/>
    <w:rsid w:val="16A9E3FC"/>
    <w:rsid w:val="16AC61C6"/>
    <w:rsid w:val="16ACFBFF"/>
    <w:rsid w:val="16BB1BE2"/>
    <w:rsid w:val="16DA5798"/>
    <w:rsid w:val="16DFDBB4"/>
    <w:rsid w:val="170891AA"/>
    <w:rsid w:val="17165A4A"/>
    <w:rsid w:val="17256758"/>
    <w:rsid w:val="1739CFFC"/>
    <w:rsid w:val="1744D500"/>
    <w:rsid w:val="17497CE8"/>
    <w:rsid w:val="1759DF17"/>
    <w:rsid w:val="175FD1FF"/>
    <w:rsid w:val="17642890"/>
    <w:rsid w:val="1782F8AD"/>
    <w:rsid w:val="178CB5BC"/>
    <w:rsid w:val="17A2C943"/>
    <w:rsid w:val="17C14A7D"/>
    <w:rsid w:val="17C3B3F6"/>
    <w:rsid w:val="17C947E1"/>
    <w:rsid w:val="17E73FFC"/>
    <w:rsid w:val="17F30DCD"/>
    <w:rsid w:val="181836FB"/>
    <w:rsid w:val="181A94D5"/>
    <w:rsid w:val="1827F9B2"/>
    <w:rsid w:val="183CC68E"/>
    <w:rsid w:val="18404F1F"/>
    <w:rsid w:val="1841BE68"/>
    <w:rsid w:val="184AF3FF"/>
    <w:rsid w:val="186A1749"/>
    <w:rsid w:val="187752CC"/>
    <w:rsid w:val="1890BD89"/>
    <w:rsid w:val="189C5649"/>
    <w:rsid w:val="189FAD3E"/>
    <w:rsid w:val="18AE78B4"/>
    <w:rsid w:val="18CD7E67"/>
    <w:rsid w:val="18D023AE"/>
    <w:rsid w:val="18DD982C"/>
    <w:rsid w:val="18E4C6FF"/>
    <w:rsid w:val="18EEE413"/>
    <w:rsid w:val="18F56A40"/>
    <w:rsid w:val="18FDECD6"/>
    <w:rsid w:val="1902B01E"/>
    <w:rsid w:val="190E3626"/>
    <w:rsid w:val="191EB1EE"/>
    <w:rsid w:val="19243274"/>
    <w:rsid w:val="192771B1"/>
    <w:rsid w:val="192DC5CF"/>
    <w:rsid w:val="192F6886"/>
    <w:rsid w:val="193550D2"/>
    <w:rsid w:val="19381176"/>
    <w:rsid w:val="1947560E"/>
    <w:rsid w:val="1962BAC5"/>
    <w:rsid w:val="19766666"/>
    <w:rsid w:val="197D2317"/>
    <w:rsid w:val="1987997E"/>
    <w:rsid w:val="198A7A86"/>
    <w:rsid w:val="19938D76"/>
    <w:rsid w:val="19947C8E"/>
    <w:rsid w:val="1994C138"/>
    <w:rsid w:val="199600E9"/>
    <w:rsid w:val="19962934"/>
    <w:rsid w:val="19A58344"/>
    <w:rsid w:val="19A85B1C"/>
    <w:rsid w:val="19B24F53"/>
    <w:rsid w:val="19B723DB"/>
    <w:rsid w:val="19BCAEC6"/>
    <w:rsid w:val="19C9FA79"/>
    <w:rsid w:val="1A050FC4"/>
    <w:rsid w:val="1A094005"/>
    <w:rsid w:val="1A20DF7A"/>
    <w:rsid w:val="1A37444E"/>
    <w:rsid w:val="1A4A23D7"/>
    <w:rsid w:val="1A698E78"/>
    <w:rsid w:val="1A868893"/>
    <w:rsid w:val="1AA75210"/>
    <w:rsid w:val="1AB2C970"/>
    <w:rsid w:val="1AB74339"/>
    <w:rsid w:val="1ABA4757"/>
    <w:rsid w:val="1AC9DA50"/>
    <w:rsid w:val="1ACC1420"/>
    <w:rsid w:val="1ACE533B"/>
    <w:rsid w:val="1B03B45B"/>
    <w:rsid w:val="1B0BCE7C"/>
    <w:rsid w:val="1B266772"/>
    <w:rsid w:val="1B59356A"/>
    <w:rsid w:val="1B736AD4"/>
    <w:rsid w:val="1B81B8A2"/>
    <w:rsid w:val="1B84C2B2"/>
    <w:rsid w:val="1B9E451B"/>
    <w:rsid w:val="1BC4DC8A"/>
    <w:rsid w:val="1BCCC0CD"/>
    <w:rsid w:val="1BE181D4"/>
    <w:rsid w:val="1BFAB5EF"/>
    <w:rsid w:val="1C145257"/>
    <w:rsid w:val="1C1459F2"/>
    <w:rsid w:val="1C1F7B1B"/>
    <w:rsid w:val="1C26227A"/>
    <w:rsid w:val="1C2D7FE8"/>
    <w:rsid w:val="1C30200F"/>
    <w:rsid w:val="1C31BC40"/>
    <w:rsid w:val="1C3C3255"/>
    <w:rsid w:val="1C43B456"/>
    <w:rsid w:val="1C4B4455"/>
    <w:rsid w:val="1C547A77"/>
    <w:rsid w:val="1C66348F"/>
    <w:rsid w:val="1C6EA7C4"/>
    <w:rsid w:val="1C7139A8"/>
    <w:rsid w:val="1C87CEEA"/>
    <w:rsid w:val="1CA656B5"/>
    <w:rsid w:val="1CAD65BA"/>
    <w:rsid w:val="1CAE581C"/>
    <w:rsid w:val="1CB1A374"/>
    <w:rsid w:val="1CBC40D4"/>
    <w:rsid w:val="1CBD0E12"/>
    <w:rsid w:val="1CCFA201"/>
    <w:rsid w:val="1CE09DE2"/>
    <w:rsid w:val="1D0034D4"/>
    <w:rsid w:val="1D0C24EA"/>
    <w:rsid w:val="1D0FA3E1"/>
    <w:rsid w:val="1D14DEDE"/>
    <w:rsid w:val="1D18F6A4"/>
    <w:rsid w:val="1D237071"/>
    <w:rsid w:val="1D3243EC"/>
    <w:rsid w:val="1D3F1DE9"/>
    <w:rsid w:val="1D40541A"/>
    <w:rsid w:val="1D7E1DEB"/>
    <w:rsid w:val="1D8358D8"/>
    <w:rsid w:val="1D9B2CB9"/>
    <w:rsid w:val="1D9CC4E4"/>
    <w:rsid w:val="1D9D61AF"/>
    <w:rsid w:val="1DB9F937"/>
    <w:rsid w:val="1DBC88C0"/>
    <w:rsid w:val="1DC0AF8E"/>
    <w:rsid w:val="1DC4DB57"/>
    <w:rsid w:val="1E06A730"/>
    <w:rsid w:val="1E08281D"/>
    <w:rsid w:val="1E0849E9"/>
    <w:rsid w:val="1E1CCB19"/>
    <w:rsid w:val="1E1D3A75"/>
    <w:rsid w:val="1E1DC96D"/>
    <w:rsid w:val="1E2F5521"/>
    <w:rsid w:val="1E30A516"/>
    <w:rsid w:val="1E331C54"/>
    <w:rsid w:val="1E386D4A"/>
    <w:rsid w:val="1E5CCECB"/>
    <w:rsid w:val="1E5DC3D3"/>
    <w:rsid w:val="1E6F1976"/>
    <w:rsid w:val="1E77CB7D"/>
    <w:rsid w:val="1E80A5C6"/>
    <w:rsid w:val="1E9B9743"/>
    <w:rsid w:val="1E9EA7E0"/>
    <w:rsid w:val="1EA629D9"/>
    <w:rsid w:val="1EBDD843"/>
    <w:rsid w:val="1EC5355E"/>
    <w:rsid w:val="1ED5EAD5"/>
    <w:rsid w:val="1EF08520"/>
    <w:rsid w:val="1EF2FBEE"/>
    <w:rsid w:val="1EF3B9D8"/>
    <w:rsid w:val="1F0816F8"/>
    <w:rsid w:val="1F1D160A"/>
    <w:rsid w:val="1F3512A2"/>
    <w:rsid w:val="1F41969F"/>
    <w:rsid w:val="1F43DF5C"/>
    <w:rsid w:val="1F4D0257"/>
    <w:rsid w:val="1F6410A9"/>
    <w:rsid w:val="1F693514"/>
    <w:rsid w:val="1F787B6F"/>
    <w:rsid w:val="1F7ADD44"/>
    <w:rsid w:val="1F8117E1"/>
    <w:rsid w:val="1F86F0C2"/>
    <w:rsid w:val="1F87D3B6"/>
    <w:rsid w:val="1F92EE6E"/>
    <w:rsid w:val="1F9E7BA6"/>
    <w:rsid w:val="1FA712CC"/>
    <w:rsid w:val="1FB8C490"/>
    <w:rsid w:val="1FCC1A99"/>
    <w:rsid w:val="1FD3C8F1"/>
    <w:rsid w:val="1FDDACE1"/>
    <w:rsid w:val="200FC087"/>
    <w:rsid w:val="201A7D8A"/>
    <w:rsid w:val="2022E79D"/>
    <w:rsid w:val="2023A71E"/>
    <w:rsid w:val="2024EB91"/>
    <w:rsid w:val="2029FAD9"/>
    <w:rsid w:val="20364AB4"/>
    <w:rsid w:val="203E1FD6"/>
    <w:rsid w:val="203EB021"/>
    <w:rsid w:val="20490D51"/>
    <w:rsid w:val="204D3340"/>
    <w:rsid w:val="205011B0"/>
    <w:rsid w:val="2051533F"/>
    <w:rsid w:val="2071FD93"/>
    <w:rsid w:val="207A0343"/>
    <w:rsid w:val="207ABF0F"/>
    <w:rsid w:val="207EC052"/>
    <w:rsid w:val="20859341"/>
    <w:rsid w:val="20862805"/>
    <w:rsid w:val="2092CE11"/>
    <w:rsid w:val="209CD9D5"/>
    <w:rsid w:val="20A5D8CF"/>
    <w:rsid w:val="20ABFC55"/>
    <w:rsid w:val="2113132E"/>
    <w:rsid w:val="2123E72F"/>
    <w:rsid w:val="21269E7C"/>
    <w:rsid w:val="212EB4FB"/>
    <w:rsid w:val="212F1221"/>
    <w:rsid w:val="213BB575"/>
    <w:rsid w:val="2152D431"/>
    <w:rsid w:val="215D24D6"/>
    <w:rsid w:val="2169569C"/>
    <w:rsid w:val="217042A2"/>
    <w:rsid w:val="21710C80"/>
    <w:rsid w:val="217FB45D"/>
    <w:rsid w:val="21875E7E"/>
    <w:rsid w:val="219CE799"/>
    <w:rsid w:val="219EABD1"/>
    <w:rsid w:val="21ADF6D7"/>
    <w:rsid w:val="21B04D01"/>
    <w:rsid w:val="21BA467B"/>
    <w:rsid w:val="21C730E7"/>
    <w:rsid w:val="21C85879"/>
    <w:rsid w:val="21D7CF37"/>
    <w:rsid w:val="21E1570B"/>
    <w:rsid w:val="21E3899B"/>
    <w:rsid w:val="220F1499"/>
    <w:rsid w:val="2212BEF3"/>
    <w:rsid w:val="221CC55D"/>
    <w:rsid w:val="222981CE"/>
    <w:rsid w:val="223A5715"/>
    <w:rsid w:val="224EA26D"/>
    <w:rsid w:val="224FC2E4"/>
    <w:rsid w:val="22503CDF"/>
    <w:rsid w:val="225A4BCD"/>
    <w:rsid w:val="2261273C"/>
    <w:rsid w:val="22666BCA"/>
    <w:rsid w:val="2268413B"/>
    <w:rsid w:val="226A83DF"/>
    <w:rsid w:val="22794F84"/>
    <w:rsid w:val="228FE9E6"/>
    <w:rsid w:val="2292AEAD"/>
    <w:rsid w:val="2292E5E0"/>
    <w:rsid w:val="2297DD75"/>
    <w:rsid w:val="2298C129"/>
    <w:rsid w:val="22B4C366"/>
    <w:rsid w:val="22DE3947"/>
    <w:rsid w:val="22E3C6F3"/>
    <w:rsid w:val="22E65BC8"/>
    <w:rsid w:val="22F2CB0B"/>
    <w:rsid w:val="2306E7A9"/>
    <w:rsid w:val="23125549"/>
    <w:rsid w:val="2318F010"/>
    <w:rsid w:val="231C1ED4"/>
    <w:rsid w:val="231C2837"/>
    <w:rsid w:val="23285C02"/>
    <w:rsid w:val="2337F096"/>
    <w:rsid w:val="234A3972"/>
    <w:rsid w:val="234ACBC9"/>
    <w:rsid w:val="23558448"/>
    <w:rsid w:val="23583DC7"/>
    <w:rsid w:val="236C3B3A"/>
    <w:rsid w:val="236C671A"/>
    <w:rsid w:val="236EA31D"/>
    <w:rsid w:val="236F6411"/>
    <w:rsid w:val="2385434A"/>
    <w:rsid w:val="238BEA89"/>
    <w:rsid w:val="238D9E2E"/>
    <w:rsid w:val="23A9C49D"/>
    <w:rsid w:val="23B04CC1"/>
    <w:rsid w:val="23BCEE17"/>
    <w:rsid w:val="23C8F8EE"/>
    <w:rsid w:val="23DD064B"/>
    <w:rsid w:val="23DF3E43"/>
    <w:rsid w:val="23E7B12C"/>
    <w:rsid w:val="23F012BE"/>
    <w:rsid w:val="23F45F24"/>
    <w:rsid w:val="2410940C"/>
    <w:rsid w:val="2417C730"/>
    <w:rsid w:val="243A7529"/>
    <w:rsid w:val="2450DF15"/>
    <w:rsid w:val="247B50E2"/>
    <w:rsid w:val="247CDE3F"/>
    <w:rsid w:val="248A5B10"/>
    <w:rsid w:val="24A46D29"/>
    <w:rsid w:val="24CADC69"/>
    <w:rsid w:val="24D78BFD"/>
    <w:rsid w:val="24E07A19"/>
    <w:rsid w:val="24F9C4F7"/>
    <w:rsid w:val="25074D8C"/>
    <w:rsid w:val="2507CA3B"/>
    <w:rsid w:val="250AB51A"/>
    <w:rsid w:val="251A2D0B"/>
    <w:rsid w:val="251B1C78"/>
    <w:rsid w:val="2530F80E"/>
    <w:rsid w:val="253DCFA5"/>
    <w:rsid w:val="25458DBF"/>
    <w:rsid w:val="2549BD07"/>
    <w:rsid w:val="254F6D56"/>
    <w:rsid w:val="256C77FB"/>
    <w:rsid w:val="25705888"/>
    <w:rsid w:val="25922B7D"/>
    <w:rsid w:val="25927A35"/>
    <w:rsid w:val="2595A83F"/>
    <w:rsid w:val="25A43763"/>
    <w:rsid w:val="25CDC1AB"/>
    <w:rsid w:val="25D6BBE0"/>
    <w:rsid w:val="25DD1D44"/>
    <w:rsid w:val="25F39C67"/>
    <w:rsid w:val="25FF3853"/>
    <w:rsid w:val="2614EE83"/>
    <w:rsid w:val="2632D712"/>
    <w:rsid w:val="2634D831"/>
    <w:rsid w:val="2635F924"/>
    <w:rsid w:val="263A810E"/>
    <w:rsid w:val="26476549"/>
    <w:rsid w:val="26627FFD"/>
    <w:rsid w:val="267321BF"/>
    <w:rsid w:val="267B4F0F"/>
    <w:rsid w:val="267EA7C1"/>
    <w:rsid w:val="26827973"/>
    <w:rsid w:val="269FAEA1"/>
    <w:rsid w:val="26AF334E"/>
    <w:rsid w:val="26B322AF"/>
    <w:rsid w:val="26B7458D"/>
    <w:rsid w:val="26C8B245"/>
    <w:rsid w:val="26E0A7E3"/>
    <w:rsid w:val="26E6554C"/>
    <w:rsid w:val="270BB537"/>
    <w:rsid w:val="2715710D"/>
    <w:rsid w:val="2723AABD"/>
    <w:rsid w:val="27352FB1"/>
    <w:rsid w:val="2749E9CB"/>
    <w:rsid w:val="2769B951"/>
    <w:rsid w:val="278245AD"/>
    <w:rsid w:val="27B06170"/>
    <w:rsid w:val="27C2D060"/>
    <w:rsid w:val="27D92B12"/>
    <w:rsid w:val="27EEBE28"/>
    <w:rsid w:val="27F7F10B"/>
    <w:rsid w:val="27F8D734"/>
    <w:rsid w:val="2800FD41"/>
    <w:rsid w:val="28031E87"/>
    <w:rsid w:val="2809FE6D"/>
    <w:rsid w:val="280AEA52"/>
    <w:rsid w:val="282CA17F"/>
    <w:rsid w:val="283EF094"/>
    <w:rsid w:val="28496575"/>
    <w:rsid w:val="286B538F"/>
    <w:rsid w:val="286BB824"/>
    <w:rsid w:val="28742C6B"/>
    <w:rsid w:val="28783C75"/>
    <w:rsid w:val="28969E43"/>
    <w:rsid w:val="28980CE9"/>
    <w:rsid w:val="289BD659"/>
    <w:rsid w:val="28BD9DA4"/>
    <w:rsid w:val="28C0D638"/>
    <w:rsid w:val="28C280E7"/>
    <w:rsid w:val="28C4F124"/>
    <w:rsid w:val="28DBC615"/>
    <w:rsid w:val="28DF85EF"/>
    <w:rsid w:val="28FC95B9"/>
    <w:rsid w:val="29026332"/>
    <w:rsid w:val="290ECDEC"/>
    <w:rsid w:val="293CBFB7"/>
    <w:rsid w:val="294F0748"/>
    <w:rsid w:val="295D5EC4"/>
    <w:rsid w:val="2962FED0"/>
    <w:rsid w:val="2968120B"/>
    <w:rsid w:val="296C8AE1"/>
    <w:rsid w:val="29832DD3"/>
    <w:rsid w:val="29937371"/>
    <w:rsid w:val="29A7B6EC"/>
    <w:rsid w:val="29BAD40A"/>
    <w:rsid w:val="29C1C670"/>
    <w:rsid w:val="29C635F6"/>
    <w:rsid w:val="29C6B00B"/>
    <w:rsid w:val="29C735E1"/>
    <w:rsid w:val="29D5D772"/>
    <w:rsid w:val="29DF4783"/>
    <w:rsid w:val="29E3DED2"/>
    <w:rsid w:val="29EA1CCB"/>
    <w:rsid w:val="29EBE6E5"/>
    <w:rsid w:val="29FE8AA6"/>
    <w:rsid w:val="2A0239B0"/>
    <w:rsid w:val="2A11CF02"/>
    <w:rsid w:val="2A15A981"/>
    <w:rsid w:val="2A27629B"/>
    <w:rsid w:val="2A298EE0"/>
    <w:rsid w:val="2A2E8569"/>
    <w:rsid w:val="2A2FC458"/>
    <w:rsid w:val="2A4BB27B"/>
    <w:rsid w:val="2A4BE22A"/>
    <w:rsid w:val="2A594212"/>
    <w:rsid w:val="2A7BD187"/>
    <w:rsid w:val="2A7BEFFD"/>
    <w:rsid w:val="2A822C4E"/>
    <w:rsid w:val="2A89CE6C"/>
    <w:rsid w:val="2A972A4E"/>
    <w:rsid w:val="2A9751B6"/>
    <w:rsid w:val="2AC1F8C6"/>
    <w:rsid w:val="2ADED422"/>
    <w:rsid w:val="2AE0AF2C"/>
    <w:rsid w:val="2AE92425"/>
    <w:rsid w:val="2AEA51C8"/>
    <w:rsid w:val="2AF36A73"/>
    <w:rsid w:val="2B0C35BB"/>
    <w:rsid w:val="2B112C5B"/>
    <w:rsid w:val="2B27A7C9"/>
    <w:rsid w:val="2B2D56FE"/>
    <w:rsid w:val="2B2E1F49"/>
    <w:rsid w:val="2B70A98F"/>
    <w:rsid w:val="2BB911BA"/>
    <w:rsid w:val="2BDCC84C"/>
    <w:rsid w:val="2BDEB422"/>
    <w:rsid w:val="2C08B5AC"/>
    <w:rsid w:val="2C155189"/>
    <w:rsid w:val="2C3CA41C"/>
    <w:rsid w:val="2C3D2DED"/>
    <w:rsid w:val="2C42C333"/>
    <w:rsid w:val="2C480926"/>
    <w:rsid w:val="2C4949F4"/>
    <w:rsid w:val="2C4DC1D4"/>
    <w:rsid w:val="2C58534B"/>
    <w:rsid w:val="2C5EE55F"/>
    <w:rsid w:val="2C5F48C0"/>
    <w:rsid w:val="2C6F3734"/>
    <w:rsid w:val="2C72CF5C"/>
    <w:rsid w:val="2C797D76"/>
    <w:rsid w:val="2C85556D"/>
    <w:rsid w:val="2C8565CC"/>
    <w:rsid w:val="2C8E065B"/>
    <w:rsid w:val="2C986BEF"/>
    <w:rsid w:val="2CA826AD"/>
    <w:rsid w:val="2CB0D5E0"/>
    <w:rsid w:val="2CB48A58"/>
    <w:rsid w:val="2CB63AAA"/>
    <w:rsid w:val="2CBA4742"/>
    <w:rsid w:val="2CC8E29E"/>
    <w:rsid w:val="2CCF3C78"/>
    <w:rsid w:val="2CD21829"/>
    <w:rsid w:val="2CDDD900"/>
    <w:rsid w:val="2CE2BE37"/>
    <w:rsid w:val="2CE99D4D"/>
    <w:rsid w:val="2CF0E806"/>
    <w:rsid w:val="2CF7593F"/>
    <w:rsid w:val="2D130DED"/>
    <w:rsid w:val="2D16B301"/>
    <w:rsid w:val="2D1AF33E"/>
    <w:rsid w:val="2D1D0D4E"/>
    <w:rsid w:val="2D2F06EA"/>
    <w:rsid w:val="2D3EFDAA"/>
    <w:rsid w:val="2D52D788"/>
    <w:rsid w:val="2D9154B2"/>
    <w:rsid w:val="2DA1CAC3"/>
    <w:rsid w:val="2DA5701C"/>
    <w:rsid w:val="2DB423D8"/>
    <w:rsid w:val="2DB5A7B9"/>
    <w:rsid w:val="2DC4A6C5"/>
    <w:rsid w:val="2DD0F7BA"/>
    <w:rsid w:val="2DD80C57"/>
    <w:rsid w:val="2DE84473"/>
    <w:rsid w:val="2DE87A58"/>
    <w:rsid w:val="2DEB6402"/>
    <w:rsid w:val="2DF09F63"/>
    <w:rsid w:val="2DFECE1C"/>
    <w:rsid w:val="2E035798"/>
    <w:rsid w:val="2E083545"/>
    <w:rsid w:val="2E0841BE"/>
    <w:rsid w:val="2E1525F0"/>
    <w:rsid w:val="2E1C9D3C"/>
    <w:rsid w:val="2E21E8C5"/>
    <w:rsid w:val="2E4739A3"/>
    <w:rsid w:val="2E4E8EAD"/>
    <w:rsid w:val="2E62A617"/>
    <w:rsid w:val="2E7188C1"/>
    <w:rsid w:val="2E746D34"/>
    <w:rsid w:val="2E7D183C"/>
    <w:rsid w:val="2E84895A"/>
    <w:rsid w:val="2E85CFB5"/>
    <w:rsid w:val="2EC54C0B"/>
    <w:rsid w:val="2ECA25EE"/>
    <w:rsid w:val="2EDCD6AF"/>
    <w:rsid w:val="2EE53007"/>
    <w:rsid w:val="2EE8CA9A"/>
    <w:rsid w:val="2F110C42"/>
    <w:rsid w:val="2F1C3466"/>
    <w:rsid w:val="2F338F74"/>
    <w:rsid w:val="2F3B94EF"/>
    <w:rsid w:val="2F3BD860"/>
    <w:rsid w:val="2F6223A8"/>
    <w:rsid w:val="2F67F3C7"/>
    <w:rsid w:val="2F68C63B"/>
    <w:rsid w:val="2F7D4C64"/>
    <w:rsid w:val="2F856B49"/>
    <w:rsid w:val="2F8AB8D1"/>
    <w:rsid w:val="2F8E4AFE"/>
    <w:rsid w:val="2F9B0849"/>
    <w:rsid w:val="2FA164B2"/>
    <w:rsid w:val="2FA2EEDF"/>
    <w:rsid w:val="2FABABBF"/>
    <w:rsid w:val="2FAE6A3F"/>
    <w:rsid w:val="2FB352FE"/>
    <w:rsid w:val="2FBDEA77"/>
    <w:rsid w:val="2FC4B709"/>
    <w:rsid w:val="2FC4CE98"/>
    <w:rsid w:val="2FCC0773"/>
    <w:rsid w:val="2FD23160"/>
    <w:rsid w:val="2FD29553"/>
    <w:rsid w:val="2FD8FCF9"/>
    <w:rsid w:val="2FE0E5D1"/>
    <w:rsid w:val="2FF5DCE6"/>
    <w:rsid w:val="2FF63AD1"/>
    <w:rsid w:val="2FFB2EC9"/>
    <w:rsid w:val="30012FDF"/>
    <w:rsid w:val="3008B7DB"/>
    <w:rsid w:val="301D43A2"/>
    <w:rsid w:val="302147D9"/>
    <w:rsid w:val="3028285E"/>
    <w:rsid w:val="302BA1E9"/>
    <w:rsid w:val="305108AA"/>
    <w:rsid w:val="30515322"/>
    <w:rsid w:val="30602B50"/>
    <w:rsid w:val="3066FC91"/>
    <w:rsid w:val="3087AF2A"/>
    <w:rsid w:val="30973C28"/>
    <w:rsid w:val="30A62147"/>
    <w:rsid w:val="30B287E0"/>
    <w:rsid w:val="30B6D5F3"/>
    <w:rsid w:val="30BC064A"/>
    <w:rsid w:val="30DA93B4"/>
    <w:rsid w:val="30DF5326"/>
    <w:rsid w:val="30DFD2FA"/>
    <w:rsid w:val="30EAE975"/>
    <w:rsid w:val="311A17C9"/>
    <w:rsid w:val="31216ABE"/>
    <w:rsid w:val="313B02DC"/>
    <w:rsid w:val="313C1CDE"/>
    <w:rsid w:val="31411F1E"/>
    <w:rsid w:val="314FB8DA"/>
    <w:rsid w:val="315CA07C"/>
    <w:rsid w:val="3164909F"/>
    <w:rsid w:val="3171DC12"/>
    <w:rsid w:val="317A1457"/>
    <w:rsid w:val="317C499D"/>
    <w:rsid w:val="3181C0E2"/>
    <w:rsid w:val="31887460"/>
    <w:rsid w:val="31A8B238"/>
    <w:rsid w:val="31AC95BD"/>
    <w:rsid w:val="31B62040"/>
    <w:rsid w:val="31CFC29C"/>
    <w:rsid w:val="31DAB981"/>
    <w:rsid w:val="3206898E"/>
    <w:rsid w:val="3206C4FD"/>
    <w:rsid w:val="320BB5C0"/>
    <w:rsid w:val="321049A5"/>
    <w:rsid w:val="32144984"/>
    <w:rsid w:val="321A6E96"/>
    <w:rsid w:val="32262661"/>
    <w:rsid w:val="323343F2"/>
    <w:rsid w:val="32389331"/>
    <w:rsid w:val="3254ED7D"/>
    <w:rsid w:val="325F413D"/>
    <w:rsid w:val="32612AF0"/>
    <w:rsid w:val="326F40A6"/>
    <w:rsid w:val="329B0D0E"/>
    <w:rsid w:val="329C5F2B"/>
    <w:rsid w:val="32A5BD58"/>
    <w:rsid w:val="32AEECBD"/>
    <w:rsid w:val="32B312DF"/>
    <w:rsid w:val="32BE00B8"/>
    <w:rsid w:val="32C0C29B"/>
    <w:rsid w:val="32C484D1"/>
    <w:rsid w:val="32DC3E1B"/>
    <w:rsid w:val="32DC8996"/>
    <w:rsid w:val="32E6D9EF"/>
    <w:rsid w:val="32FA5C41"/>
    <w:rsid w:val="32FFD208"/>
    <w:rsid w:val="330A59F7"/>
    <w:rsid w:val="330DFF6E"/>
    <w:rsid w:val="3317DDEC"/>
    <w:rsid w:val="3318E6E6"/>
    <w:rsid w:val="331C2E7A"/>
    <w:rsid w:val="33234BCD"/>
    <w:rsid w:val="332D7DA0"/>
    <w:rsid w:val="332DE650"/>
    <w:rsid w:val="332E1D41"/>
    <w:rsid w:val="33356307"/>
    <w:rsid w:val="3336603B"/>
    <w:rsid w:val="33442AF2"/>
    <w:rsid w:val="334733F2"/>
    <w:rsid w:val="334EE729"/>
    <w:rsid w:val="3364812C"/>
    <w:rsid w:val="336A37D2"/>
    <w:rsid w:val="33770860"/>
    <w:rsid w:val="33912EB5"/>
    <w:rsid w:val="33AE1FAB"/>
    <w:rsid w:val="33B7F6C3"/>
    <w:rsid w:val="33C14BAF"/>
    <w:rsid w:val="33C30ED0"/>
    <w:rsid w:val="33C5EED7"/>
    <w:rsid w:val="33C65CB4"/>
    <w:rsid w:val="33D38D76"/>
    <w:rsid w:val="33DB3528"/>
    <w:rsid w:val="33F64EBC"/>
    <w:rsid w:val="33FB39B2"/>
    <w:rsid w:val="340F1667"/>
    <w:rsid w:val="34258DD0"/>
    <w:rsid w:val="34379E10"/>
    <w:rsid w:val="34464A64"/>
    <w:rsid w:val="344959EB"/>
    <w:rsid w:val="345DD298"/>
    <w:rsid w:val="347B3426"/>
    <w:rsid w:val="3489FDD9"/>
    <w:rsid w:val="34948CA2"/>
    <w:rsid w:val="3499B3F1"/>
    <w:rsid w:val="34A8B0EB"/>
    <w:rsid w:val="34ABD122"/>
    <w:rsid w:val="34C00305"/>
    <w:rsid w:val="34CFC6C8"/>
    <w:rsid w:val="34DDC9B3"/>
    <w:rsid w:val="34E199D3"/>
    <w:rsid w:val="34E6B6E7"/>
    <w:rsid w:val="34EE738F"/>
    <w:rsid w:val="34F1A526"/>
    <w:rsid w:val="34F52EF4"/>
    <w:rsid w:val="350735DA"/>
    <w:rsid w:val="3525787B"/>
    <w:rsid w:val="35348571"/>
    <w:rsid w:val="3540FF01"/>
    <w:rsid w:val="35456C32"/>
    <w:rsid w:val="354DBC33"/>
    <w:rsid w:val="35539A97"/>
    <w:rsid w:val="3559A1E8"/>
    <w:rsid w:val="355C26D0"/>
    <w:rsid w:val="355E55B3"/>
    <w:rsid w:val="3560EB8C"/>
    <w:rsid w:val="35624FA5"/>
    <w:rsid w:val="35650D40"/>
    <w:rsid w:val="3579D3EE"/>
    <w:rsid w:val="357B740A"/>
    <w:rsid w:val="357B860A"/>
    <w:rsid w:val="357FFD02"/>
    <w:rsid w:val="3593C8BF"/>
    <w:rsid w:val="3594FA83"/>
    <w:rsid w:val="35A26B57"/>
    <w:rsid w:val="35A2E019"/>
    <w:rsid w:val="35AD077B"/>
    <w:rsid w:val="35C59C5F"/>
    <w:rsid w:val="35D0F981"/>
    <w:rsid w:val="35D528C0"/>
    <w:rsid w:val="35DCF3F5"/>
    <w:rsid w:val="35E9E652"/>
    <w:rsid w:val="360F2168"/>
    <w:rsid w:val="36176E6D"/>
    <w:rsid w:val="36535EE8"/>
    <w:rsid w:val="365F00ED"/>
    <w:rsid w:val="366553E7"/>
    <w:rsid w:val="3689BA59"/>
    <w:rsid w:val="36A8E256"/>
    <w:rsid w:val="36A99A49"/>
    <w:rsid w:val="36C8D3E4"/>
    <w:rsid w:val="36CF9771"/>
    <w:rsid w:val="36D4EE71"/>
    <w:rsid w:val="36E68512"/>
    <w:rsid w:val="36EF2479"/>
    <w:rsid w:val="36F2DE7D"/>
    <w:rsid w:val="36FCF590"/>
    <w:rsid w:val="370D36ED"/>
    <w:rsid w:val="371316DA"/>
    <w:rsid w:val="3714572D"/>
    <w:rsid w:val="37163261"/>
    <w:rsid w:val="37478513"/>
    <w:rsid w:val="376A8A10"/>
    <w:rsid w:val="377EA7D2"/>
    <w:rsid w:val="37840F20"/>
    <w:rsid w:val="3786EAC9"/>
    <w:rsid w:val="378E283C"/>
    <w:rsid w:val="3796B734"/>
    <w:rsid w:val="37BCBECA"/>
    <w:rsid w:val="37C45360"/>
    <w:rsid w:val="37CC3970"/>
    <w:rsid w:val="37E775D7"/>
    <w:rsid w:val="37F10591"/>
    <w:rsid w:val="3806B6E7"/>
    <w:rsid w:val="38071EC6"/>
    <w:rsid w:val="38073AF1"/>
    <w:rsid w:val="380A31D9"/>
    <w:rsid w:val="380B95AB"/>
    <w:rsid w:val="3821A3AB"/>
    <w:rsid w:val="383396E8"/>
    <w:rsid w:val="383D4270"/>
    <w:rsid w:val="385850FC"/>
    <w:rsid w:val="3866C449"/>
    <w:rsid w:val="386909C8"/>
    <w:rsid w:val="386A2DD0"/>
    <w:rsid w:val="3886FC99"/>
    <w:rsid w:val="38A62237"/>
    <w:rsid w:val="38C2344E"/>
    <w:rsid w:val="38CEF04D"/>
    <w:rsid w:val="38DB607D"/>
    <w:rsid w:val="38E8670D"/>
    <w:rsid w:val="38F08F50"/>
    <w:rsid w:val="38F1DB0C"/>
    <w:rsid w:val="38F21B01"/>
    <w:rsid w:val="38F793AB"/>
    <w:rsid w:val="38FEC57F"/>
    <w:rsid w:val="391B8617"/>
    <w:rsid w:val="391C897E"/>
    <w:rsid w:val="3924A890"/>
    <w:rsid w:val="39471B4B"/>
    <w:rsid w:val="394AEA87"/>
    <w:rsid w:val="395292F4"/>
    <w:rsid w:val="3963A2A7"/>
    <w:rsid w:val="396D271E"/>
    <w:rsid w:val="39729EF8"/>
    <w:rsid w:val="398A7DE2"/>
    <w:rsid w:val="399F21CC"/>
    <w:rsid w:val="39A29C59"/>
    <w:rsid w:val="39AF0CB6"/>
    <w:rsid w:val="39AF4626"/>
    <w:rsid w:val="39B6963D"/>
    <w:rsid w:val="39EC1D28"/>
    <w:rsid w:val="3A0757ED"/>
    <w:rsid w:val="3A0F2F52"/>
    <w:rsid w:val="3A203F5C"/>
    <w:rsid w:val="3A2B8455"/>
    <w:rsid w:val="3A64A805"/>
    <w:rsid w:val="3A65D4CF"/>
    <w:rsid w:val="3A959C70"/>
    <w:rsid w:val="3A9C3257"/>
    <w:rsid w:val="3AA0108F"/>
    <w:rsid w:val="3AC15939"/>
    <w:rsid w:val="3AC75552"/>
    <w:rsid w:val="3ACA74DF"/>
    <w:rsid w:val="3AD80951"/>
    <w:rsid w:val="3ADD8352"/>
    <w:rsid w:val="3ADF79ED"/>
    <w:rsid w:val="3AE0EBE9"/>
    <w:rsid w:val="3AF4D298"/>
    <w:rsid w:val="3B080603"/>
    <w:rsid w:val="3B0EEB4F"/>
    <w:rsid w:val="3B111C4E"/>
    <w:rsid w:val="3B1A6007"/>
    <w:rsid w:val="3B1F933E"/>
    <w:rsid w:val="3B23536D"/>
    <w:rsid w:val="3B3BE3A6"/>
    <w:rsid w:val="3B3CA2C1"/>
    <w:rsid w:val="3B474394"/>
    <w:rsid w:val="3B500FC0"/>
    <w:rsid w:val="3B54090E"/>
    <w:rsid w:val="3B5DDDEC"/>
    <w:rsid w:val="3B5E1C3F"/>
    <w:rsid w:val="3B87727E"/>
    <w:rsid w:val="3B957AC9"/>
    <w:rsid w:val="3BA3B6B3"/>
    <w:rsid w:val="3BB67CFD"/>
    <w:rsid w:val="3BB81BCB"/>
    <w:rsid w:val="3BC035D6"/>
    <w:rsid w:val="3BCC4FA0"/>
    <w:rsid w:val="3BD5EC0A"/>
    <w:rsid w:val="3BDB7605"/>
    <w:rsid w:val="3BFDC14B"/>
    <w:rsid w:val="3C089AF9"/>
    <w:rsid w:val="3C0E8BCF"/>
    <w:rsid w:val="3C1E2177"/>
    <w:rsid w:val="3C35BE96"/>
    <w:rsid w:val="3C365030"/>
    <w:rsid w:val="3C5AFAEF"/>
    <w:rsid w:val="3C615637"/>
    <w:rsid w:val="3C711BD6"/>
    <w:rsid w:val="3C73E240"/>
    <w:rsid w:val="3C7EDD03"/>
    <w:rsid w:val="3C8811CE"/>
    <w:rsid w:val="3C8C9E35"/>
    <w:rsid w:val="3C9CB4C2"/>
    <w:rsid w:val="3CB174D3"/>
    <w:rsid w:val="3CB5FE04"/>
    <w:rsid w:val="3CF03D20"/>
    <w:rsid w:val="3CFB3EC5"/>
    <w:rsid w:val="3D10CA25"/>
    <w:rsid w:val="3D1A8ED7"/>
    <w:rsid w:val="3D25E3F9"/>
    <w:rsid w:val="3D35EEB4"/>
    <w:rsid w:val="3D36D2B7"/>
    <w:rsid w:val="3D3AF850"/>
    <w:rsid w:val="3D44E9CC"/>
    <w:rsid w:val="3D5D58A2"/>
    <w:rsid w:val="3D675CA2"/>
    <w:rsid w:val="3D686644"/>
    <w:rsid w:val="3D74E3D9"/>
    <w:rsid w:val="3D7DAD6C"/>
    <w:rsid w:val="3D8A1037"/>
    <w:rsid w:val="3D9DA9ED"/>
    <w:rsid w:val="3DAABDAF"/>
    <w:rsid w:val="3DBFB55D"/>
    <w:rsid w:val="3DE7A379"/>
    <w:rsid w:val="3DEF79EA"/>
    <w:rsid w:val="3DF0964A"/>
    <w:rsid w:val="3E024234"/>
    <w:rsid w:val="3E142A0C"/>
    <w:rsid w:val="3E3A6C56"/>
    <w:rsid w:val="3E3F9A9B"/>
    <w:rsid w:val="3E44A9FF"/>
    <w:rsid w:val="3E535315"/>
    <w:rsid w:val="3E595169"/>
    <w:rsid w:val="3E5E94B2"/>
    <w:rsid w:val="3E804138"/>
    <w:rsid w:val="3E807C89"/>
    <w:rsid w:val="3E8DA70C"/>
    <w:rsid w:val="3E8F2789"/>
    <w:rsid w:val="3E9672A7"/>
    <w:rsid w:val="3EA8103C"/>
    <w:rsid w:val="3EBC0B84"/>
    <w:rsid w:val="3EC49C89"/>
    <w:rsid w:val="3EE39982"/>
    <w:rsid w:val="3EE49B29"/>
    <w:rsid w:val="3EEFC307"/>
    <w:rsid w:val="3EF787DE"/>
    <w:rsid w:val="3EFB3E1A"/>
    <w:rsid w:val="3F09FAD8"/>
    <w:rsid w:val="3F0A5B1D"/>
    <w:rsid w:val="3F0BB22A"/>
    <w:rsid w:val="3F1188B4"/>
    <w:rsid w:val="3F15D9BA"/>
    <w:rsid w:val="3F1C0D75"/>
    <w:rsid w:val="3F214D81"/>
    <w:rsid w:val="3F460C3E"/>
    <w:rsid w:val="3F46F5AD"/>
    <w:rsid w:val="3F4CD7D6"/>
    <w:rsid w:val="3F6C6DC4"/>
    <w:rsid w:val="3F6C98FB"/>
    <w:rsid w:val="3F7254FA"/>
    <w:rsid w:val="3F72F7AC"/>
    <w:rsid w:val="3F7823F0"/>
    <w:rsid w:val="3F92CFB6"/>
    <w:rsid w:val="3F94C93B"/>
    <w:rsid w:val="3F95B499"/>
    <w:rsid w:val="3F9BF825"/>
    <w:rsid w:val="3FAE84F5"/>
    <w:rsid w:val="3FB15725"/>
    <w:rsid w:val="3FBB103A"/>
    <w:rsid w:val="3FC66637"/>
    <w:rsid w:val="3FE1A248"/>
    <w:rsid w:val="3FF3408A"/>
    <w:rsid w:val="3FFF620F"/>
    <w:rsid w:val="40123335"/>
    <w:rsid w:val="40151672"/>
    <w:rsid w:val="401B1938"/>
    <w:rsid w:val="401C91A6"/>
    <w:rsid w:val="4023499A"/>
    <w:rsid w:val="402CDDF7"/>
    <w:rsid w:val="404F29D7"/>
    <w:rsid w:val="405E38EE"/>
    <w:rsid w:val="4066A2C2"/>
    <w:rsid w:val="406CE065"/>
    <w:rsid w:val="4077519D"/>
    <w:rsid w:val="4097B22A"/>
    <w:rsid w:val="40A2E1EC"/>
    <w:rsid w:val="40A608FC"/>
    <w:rsid w:val="40B02A3D"/>
    <w:rsid w:val="40B512A9"/>
    <w:rsid w:val="40C69C39"/>
    <w:rsid w:val="40DA9257"/>
    <w:rsid w:val="40EFC25C"/>
    <w:rsid w:val="40F9814C"/>
    <w:rsid w:val="40FD4B8B"/>
    <w:rsid w:val="41053B42"/>
    <w:rsid w:val="4106AB5D"/>
    <w:rsid w:val="412088D8"/>
    <w:rsid w:val="41365259"/>
    <w:rsid w:val="414F9399"/>
    <w:rsid w:val="414FC156"/>
    <w:rsid w:val="4163DEAE"/>
    <w:rsid w:val="418670C5"/>
    <w:rsid w:val="418DF33A"/>
    <w:rsid w:val="419555D0"/>
    <w:rsid w:val="41ADCDDB"/>
    <w:rsid w:val="41B0055C"/>
    <w:rsid w:val="41CBB575"/>
    <w:rsid w:val="41D32974"/>
    <w:rsid w:val="41D48291"/>
    <w:rsid w:val="41D54A70"/>
    <w:rsid w:val="41E0F686"/>
    <w:rsid w:val="41EDFA40"/>
    <w:rsid w:val="41F4A2C6"/>
    <w:rsid w:val="420733DA"/>
    <w:rsid w:val="42145520"/>
    <w:rsid w:val="4214E9BE"/>
    <w:rsid w:val="42196E5B"/>
    <w:rsid w:val="422342AE"/>
    <w:rsid w:val="422CE03B"/>
    <w:rsid w:val="42318956"/>
    <w:rsid w:val="423451CA"/>
    <w:rsid w:val="424B5E4E"/>
    <w:rsid w:val="42602495"/>
    <w:rsid w:val="42791696"/>
    <w:rsid w:val="427BB53C"/>
    <w:rsid w:val="4290B6E7"/>
    <w:rsid w:val="42A40BAC"/>
    <w:rsid w:val="42B584CA"/>
    <w:rsid w:val="42C47805"/>
    <w:rsid w:val="42CA57A5"/>
    <w:rsid w:val="42DCA110"/>
    <w:rsid w:val="42E05DF0"/>
    <w:rsid w:val="42E0968D"/>
    <w:rsid w:val="42E78C33"/>
    <w:rsid w:val="42F69D90"/>
    <w:rsid w:val="42FA1187"/>
    <w:rsid w:val="4305E0E6"/>
    <w:rsid w:val="43072FDA"/>
    <w:rsid w:val="431164AB"/>
    <w:rsid w:val="431D0086"/>
    <w:rsid w:val="4323543B"/>
    <w:rsid w:val="433FD425"/>
    <w:rsid w:val="436C0213"/>
    <w:rsid w:val="43879C95"/>
    <w:rsid w:val="4389D92A"/>
    <w:rsid w:val="439D78E7"/>
    <w:rsid w:val="43B42CD6"/>
    <w:rsid w:val="43B63951"/>
    <w:rsid w:val="43C583B7"/>
    <w:rsid w:val="43E7C6D4"/>
    <w:rsid w:val="4402C9CA"/>
    <w:rsid w:val="44069499"/>
    <w:rsid w:val="440ADCEF"/>
    <w:rsid w:val="44204825"/>
    <w:rsid w:val="44294DC4"/>
    <w:rsid w:val="443C5FB1"/>
    <w:rsid w:val="444CFF5B"/>
    <w:rsid w:val="444EC5D5"/>
    <w:rsid w:val="445CB255"/>
    <w:rsid w:val="445E13B4"/>
    <w:rsid w:val="4472F509"/>
    <w:rsid w:val="4488100C"/>
    <w:rsid w:val="44A25780"/>
    <w:rsid w:val="44B6498A"/>
    <w:rsid w:val="44C67C41"/>
    <w:rsid w:val="44C78614"/>
    <w:rsid w:val="44C860D6"/>
    <w:rsid w:val="44CE56D3"/>
    <w:rsid w:val="44DC8008"/>
    <w:rsid w:val="44F0713B"/>
    <w:rsid w:val="44FD8D41"/>
    <w:rsid w:val="45126E25"/>
    <w:rsid w:val="45236787"/>
    <w:rsid w:val="452A07D2"/>
    <w:rsid w:val="452D7692"/>
    <w:rsid w:val="4554D643"/>
    <w:rsid w:val="455989F0"/>
    <w:rsid w:val="4566D077"/>
    <w:rsid w:val="45787B80"/>
    <w:rsid w:val="457A7133"/>
    <w:rsid w:val="4585B1A8"/>
    <w:rsid w:val="45970845"/>
    <w:rsid w:val="45B30248"/>
    <w:rsid w:val="45B7B6C6"/>
    <w:rsid w:val="45D8219E"/>
    <w:rsid w:val="45E1BCAE"/>
    <w:rsid w:val="45F3C4A8"/>
    <w:rsid w:val="46061D30"/>
    <w:rsid w:val="4608CF01"/>
    <w:rsid w:val="4610C428"/>
    <w:rsid w:val="461A9860"/>
    <w:rsid w:val="46256763"/>
    <w:rsid w:val="46285410"/>
    <w:rsid w:val="462F11D0"/>
    <w:rsid w:val="46324B7F"/>
    <w:rsid w:val="46348F09"/>
    <w:rsid w:val="4647DFB1"/>
    <w:rsid w:val="46756F7C"/>
    <w:rsid w:val="46788CE7"/>
    <w:rsid w:val="4679B4BD"/>
    <w:rsid w:val="468247BA"/>
    <w:rsid w:val="4689E482"/>
    <w:rsid w:val="4694B282"/>
    <w:rsid w:val="46A40C05"/>
    <w:rsid w:val="46BA4BB0"/>
    <w:rsid w:val="46D9D337"/>
    <w:rsid w:val="46DDFBF7"/>
    <w:rsid w:val="46DF5D84"/>
    <w:rsid w:val="46E43E54"/>
    <w:rsid w:val="46E79DD1"/>
    <w:rsid w:val="46E962DD"/>
    <w:rsid w:val="46EEA409"/>
    <w:rsid w:val="46F5D6FC"/>
    <w:rsid w:val="471D4B1D"/>
    <w:rsid w:val="473A38CF"/>
    <w:rsid w:val="4741CB02"/>
    <w:rsid w:val="4742EF6C"/>
    <w:rsid w:val="475EBEA8"/>
    <w:rsid w:val="4762D3EF"/>
    <w:rsid w:val="4786A289"/>
    <w:rsid w:val="4789D460"/>
    <w:rsid w:val="479AFE46"/>
    <w:rsid w:val="47A3E2A5"/>
    <w:rsid w:val="47BB40A4"/>
    <w:rsid w:val="47DEF8FC"/>
    <w:rsid w:val="47DF8B6D"/>
    <w:rsid w:val="47EB54B1"/>
    <w:rsid w:val="4801F3F2"/>
    <w:rsid w:val="480C0C60"/>
    <w:rsid w:val="480DD68F"/>
    <w:rsid w:val="481FD4B5"/>
    <w:rsid w:val="4839F4B6"/>
    <w:rsid w:val="484B1C43"/>
    <w:rsid w:val="48703224"/>
    <w:rsid w:val="487B5F7A"/>
    <w:rsid w:val="4898A8CE"/>
    <w:rsid w:val="48AB20EC"/>
    <w:rsid w:val="48B2A190"/>
    <w:rsid w:val="48B97BB1"/>
    <w:rsid w:val="48C8468F"/>
    <w:rsid w:val="48CB2318"/>
    <w:rsid w:val="48D83E45"/>
    <w:rsid w:val="48E0258A"/>
    <w:rsid w:val="48FB581C"/>
    <w:rsid w:val="49251FCB"/>
    <w:rsid w:val="49271B15"/>
    <w:rsid w:val="493FCD55"/>
    <w:rsid w:val="4949F3F0"/>
    <w:rsid w:val="494CB40C"/>
    <w:rsid w:val="49526A32"/>
    <w:rsid w:val="495BF278"/>
    <w:rsid w:val="4966CD9F"/>
    <w:rsid w:val="496BEFE2"/>
    <w:rsid w:val="49833E1B"/>
    <w:rsid w:val="4988FE9E"/>
    <w:rsid w:val="4992FE24"/>
    <w:rsid w:val="499EDD79"/>
    <w:rsid w:val="49CBFBC2"/>
    <w:rsid w:val="49D7D07F"/>
    <w:rsid w:val="49F0C0A8"/>
    <w:rsid w:val="49F45543"/>
    <w:rsid w:val="49FBD833"/>
    <w:rsid w:val="4A0094EE"/>
    <w:rsid w:val="4A0D1417"/>
    <w:rsid w:val="4A27CAA9"/>
    <w:rsid w:val="4A295B0B"/>
    <w:rsid w:val="4A2A5827"/>
    <w:rsid w:val="4A32F5D9"/>
    <w:rsid w:val="4A3FC225"/>
    <w:rsid w:val="4A48C00F"/>
    <w:rsid w:val="4A66421B"/>
    <w:rsid w:val="4A6AC7B0"/>
    <w:rsid w:val="4A8758C5"/>
    <w:rsid w:val="4A8D44A3"/>
    <w:rsid w:val="4A8D6833"/>
    <w:rsid w:val="4A957CDB"/>
    <w:rsid w:val="4AA9C3D4"/>
    <w:rsid w:val="4B052428"/>
    <w:rsid w:val="4B0E44AB"/>
    <w:rsid w:val="4B22B956"/>
    <w:rsid w:val="4B294268"/>
    <w:rsid w:val="4B359EF3"/>
    <w:rsid w:val="4B4357BB"/>
    <w:rsid w:val="4B554E16"/>
    <w:rsid w:val="4B7C45F3"/>
    <w:rsid w:val="4B827E50"/>
    <w:rsid w:val="4B94BC77"/>
    <w:rsid w:val="4BA72E46"/>
    <w:rsid w:val="4BB35D9D"/>
    <w:rsid w:val="4BB91BA3"/>
    <w:rsid w:val="4BBCF891"/>
    <w:rsid w:val="4BC2241F"/>
    <w:rsid w:val="4BD75AC0"/>
    <w:rsid w:val="4C0DD14D"/>
    <w:rsid w:val="4C10964E"/>
    <w:rsid w:val="4C1B66AB"/>
    <w:rsid w:val="4C29928E"/>
    <w:rsid w:val="4C398A1C"/>
    <w:rsid w:val="4C402B83"/>
    <w:rsid w:val="4C52AC85"/>
    <w:rsid w:val="4C59DE79"/>
    <w:rsid w:val="4C6D5CA2"/>
    <w:rsid w:val="4C9F52C7"/>
    <w:rsid w:val="4CC2E51C"/>
    <w:rsid w:val="4CC5FA90"/>
    <w:rsid w:val="4CD36E99"/>
    <w:rsid w:val="4CDE0042"/>
    <w:rsid w:val="4CEFC6AC"/>
    <w:rsid w:val="4CEFCF8C"/>
    <w:rsid w:val="4D0900FE"/>
    <w:rsid w:val="4D0D620B"/>
    <w:rsid w:val="4D0F94BE"/>
    <w:rsid w:val="4D200673"/>
    <w:rsid w:val="4D22D604"/>
    <w:rsid w:val="4D27EAF4"/>
    <w:rsid w:val="4D3121BE"/>
    <w:rsid w:val="4D599842"/>
    <w:rsid w:val="4D63D27E"/>
    <w:rsid w:val="4D6DB4F9"/>
    <w:rsid w:val="4D6E5B73"/>
    <w:rsid w:val="4D81030F"/>
    <w:rsid w:val="4D830011"/>
    <w:rsid w:val="4D833BFA"/>
    <w:rsid w:val="4D88EEDE"/>
    <w:rsid w:val="4D92B018"/>
    <w:rsid w:val="4D9FAA4D"/>
    <w:rsid w:val="4DA75BD0"/>
    <w:rsid w:val="4DAAD399"/>
    <w:rsid w:val="4DBCAE94"/>
    <w:rsid w:val="4DD513E7"/>
    <w:rsid w:val="4DD9B5D0"/>
    <w:rsid w:val="4DDB5E00"/>
    <w:rsid w:val="4DEE8CB3"/>
    <w:rsid w:val="4DF83E16"/>
    <w:rsid w:val="4E100626"/>
    <w:rsid w:val="4E1D8A71"/>
    <w:rsid w:val="4E263907"/>
    <w:rsid w:val="4E355AD0"/>
    <w:rsid w:val="4E3CEC46"/>
    <w:rsid w:val="4E41EA97"/>
    <w:rsid w:val="4E51798B"/>
    <w:rsid w:val="4E64D39E"/>
    <w:rsid w:val="4E69E8A6"/>
    <w:rsid w:val="4E6B51F6"/>
    <w:rsid w:val="4E6F4BB9"/>
    <w:rsid w:val="4E77DF35"/>
    <w:rsid w:val="4E7F7261"/>
    <w:rsid w:val="4E844812"/>
    <w:rsid w:val="4E8F2E2D"/>
    <w:rsid w:val="4EA4C963"/>
    <w:rsid w:val="4ECCD848"/>
    <w:rsid w:val="4EF2D827"/>
    <w:rsid w:val="4F0C7C47"/>
    <w:rsid w:val="4F101E8E"/>
    <w:rsid w:val="4F16061D"/>
    <w:rsid w:val="4F27B9D5"/>
    <w:rsid w:val="4F2EDA42"/>
    <w:rsid w:val="4F3C6E27"/>
    <w:rsid w:val="4F54BCE4"/>
    <w:rsid w:val="4F5D0059"/>
    <w:rsid w:val="4F5F670E"/>
    <w:rsid w:val="4F5F6742"/>
    <w:rsid w:val="4F61DC51"/>
    <w:rsid w:val="4F70BF0F"/>
    <w:rsid w:val="4F8BBBF8"/>
    <w:rsid w:val="4F9AC8FF"/>
    <w:rsid w:val="4FA19D78"/>
    <w:rsid w:val="4FB92B89"/>
    <w:rsid w:val="4FCE5135"/>
    <w:rsid w:val="4FD5E202"/>
    <w:rsid w:val="4FD92C66"/>
    <w:rsid w:val="4FE99657"/>
    <w:rsid w:val="4FF46978"/>
    <w:rsid w:val="50054D7A"/>
    <w:rsid w:val="50085CF6"/>
    <w:rsid w:val="5022B148"/>
    <w:rsid w:val="503D19E6"/>
    <w:rsid w:val="503EAE26"/>
    <w:rsid w:val="504455F5"/>
    <w:rsid w:val="505D9274"/>
    <w:rsid w:val="5069D81C"/>
    <w:rsid w:val="506ADB38"/>
    <w:rsid w:val="506F8017"/>
    <w:rsid w:val="5072CF80"/>
    <w:rsid w:val="5075FA75"/>
    <w:rsid w:val="50836C92"/>
    <w:rsid w:val="508FE8EC"/>
    <w:rsid w:val="5096CCB4"/>
    <w:rsid w:val="5096FA91"/>
    <w:rsid w:val="50A23CBF"/>
    <w:rsid w:val="50ACB438"/>
    <w:rsid w:val="50B73D3A"/>
    <w:rsid w:val="50C668A3"/>
    <w:rsid w:val="50D074A2"/>
    <w:rsid w:val="50D97DF4"/>
    <w:rsid w:val="50EB7BDD"/>
    <w:rsid w:val="50F09E2B"/>
    <w:rsid w:val="51137A83"/>
    <w:rsid w:val="511AECBF"/>
    <w:rsid w:val="511FD335"/>
    <w:rsid w:val="51325E57"/>
    <w:rsid w:val="51366F74"/>
    <w:rsid w:val="513D6DEC"/>
    <w:rsid w:val="514A43FD"/>
    <w:rsid w:val="5154F990"/>
    <w:rsid w:val="5156DB73"/>
    <w:rsid w:val="5157D776"/>
    <w:rsid w:val="51582204"/>
    <w:rsid w:val="5175A167"/>
    <w:rsid w:val="518146DD"/>
    <w:rsid w:val="519C8CC3"/>
    <w:rsid w:val="51A87650"/>
    <w:rsid w:val="51B07D90"/>
    <w:rsid w:val="51B1733B"/>
    <w:rsid w:val="51B3B980"/>
    <w:rsid w:val="51D62F70"/>
    <w:rsid w:val="51DF332C"/>
    <w:rsid w:val="51EBE7A1"/>
    <w:rsid w:val="51F19045"/>
    <w:rsid w:val="51F613EB"/>
    <w:rsid w:val="52109BBC"/>
    <w:rsid w:val="5213F208"/>
    <w:rsid w:val="523C7F0C"/>
    <w:rsid w:val="5243F389"/>
    <w:rsid w:val="5246EC79"/>
    <w:rsid w:val="5249008E"/>
    <w:rsid w:val="5254166B"/>
    <w:rsid w:val="526D80D1"/>
    <w:rsid w:val="5279925D"/>
    <w:rsid w:val="527FE19F"/>
    <w:rsid w:val="52C3CF3D"/>
    <w:rsid w:val="52CC0306"/>
    <w:rsid w:val="52E5D21E"/>
    <w:rsid w:val="52E770C3"/>
    <w:rsid w:val="52EB769E"/>
    <w:rsid w:val="53040D74"/>
    <w:rsid w:val="53113D32"/>
    <w:rsid w:val="5329FA29"/>
    <w:rsid w:val="53407355"/>
    <w:rsid w:val="53565006"/>
    <w:rsid w:val="53602782"/>
    <w:rsid w:val="53612123"/>
    <w:rsid w:val="5361D370"/>
    <w:rsid w:val="53632D8D"/>
    <w:rsid w:val="5366D1D6"/>
    <w:rsid w:val="53783144"/>
    <w:rsid w:val="53791650"/>
    <w:rsid w:val="53856043"/>
    <w:rsid w:val="538F48EC"/>
    <w:rsid w:val="53905A99"/>
    <w:rsid w:val="5393337D"/>
    <w:rsid w:val="539334C4"/>
    <w:rsid w:val="539C0C24"/>
    <w:rsid w:val="539CD60E"/>
    <w:rsid w:val="539FB371"/>
    <w:rsid w:val="53B22051"/>
    <w:rsid w:val="53BDCC36"/>
    <w:rsid w:val="53BE46DE"/>
    <w:rsid w:val="53C10628"/>
    <w:rsid w:val="53C20A63"/>
    <w:rsid w:val="53CFB3A6"/>
    <w:rsid w:val="53DBBCC4"/>
    <w:rsid w:val="53DBF8E5"/>
    <w:rsid w:val="53DC0C52"/>
    <w:rsid w:val="53E83D98"/>
    <w:rsid w:val="53F861F5"/>
    <w:rsid w:val="5407F0B9"/>
    <w:rsid w:val="540BBF8C"/>
    <w:rsid w:val="541262B7"/>
    <w:rsid w:val="54184C44"/>
    <w:rsid w:val="541BB089"/>
    <w:rsid w:val="5428E00F"/>
    <w:rsid w:val="54383166"/>
    <w:rsid w:val="54584EA7"/>
    <w:rsid w:val="54587599"/>
    <w:rsid w:val="5486307D"/>
    <w:rsid w:val="548ECDF3"/>
    <w:rsid w:val="54B9FBF5"/>
    <w:rsid w:val="54BB34B3"/>
    <w:rsid w:val="54C0FB19"/>
    <w:rsid w:val="54E8AC37"/>
    <w:rsid w:val="54E99ED7"/>
    <w:rsid w:val="54EDBB4A"/>
    <w:rsid w:val="54F3F308"/>
    <w:rsid w:val="54F61A9B"/>
    <w:rsid w:val="54F88611"/>
    <w:rsid w:val="5511F878"/>
    <w:rsid w:val="5513DDF7"/>
    <w:rsid w:val="5516DB04"/>
    <w:rsid w:val="55246521"/>
    <w:rsid w:val="552663E9"/>
    <w:rsid w:val="553D08A0"/>
    <w:rsid w:val="5553A87C"/>
    <w:rsid w:val="55A8D061"/>
    <w:rsid w:val="55AF9F26"/>
    <w:rsid w:val="55B56BCA"/>
    <w:rsid w:val="55CCA95D"/>
    <w:rsid w:val="55E4D44B"/>
    <w:rsid w:val="55E91BFA"/>
    <w:rsid w:val="55F84CB3"/>
    <w:rsid w:val="55FEBE0C"/>
    <w:rsid w:val="56007930"/>
    <w:rsid w:val="56030117"/>
    <w:rsid w:val="560333E5"/>
    <w:rsid w:val="560C3236"/>
    <w:rsid w:val="563137CF"/>
    <w:rsid w:val="563F08EE"/>
    <w:rsid w:val="564E38E1"/>
    <w:rsid w:val="565D487B"/>
    <w:rsid w:val="566933C9"/>
    <w:rsid w:val="56741D70"/>
    <w:rsid w:val="567CBDF0"/>
    <w:rsid w:val="568DC5F5"/>
    <w:rsid w:val="56912A3E"/>
    <w:rsid w:val="5699143A"/>
    <w:rsid w:val="56A0C4C7"/>
    <w:rsid w:val="56A147E9"/>
    <w:rsid w:val="56AD66FC"/>
    <w:rsid w:val="56C45DD6"/>
    <w:rsid w:val="56DD8491"/>
    <w:rsid w:val="5707A4F1"/>
    <w:rsid w:val="5713BB1E"/>
    <w:rsid w:val="572083E1"/>
    <w:rsid w:val="573846A9"/>
    <w:rsid w:val="57472F98"/>
    <w:rsid w:val="5747D663"/>
    <w:rsid w:val="575384AA"/>
    <w:rsid w:val="5763F22F"/>
    <w:rsid w:val="5764A961"/>
    <w:rsid w:val="5765800E"/>
    <w:rsid w:val="57750FC4"/>
    <w:rsid w:val="577DF464"/>
    <w:rsid w:val="57831EB4"/>
    <w:rsid w:val="578A5470"/>
    <w:rsid w:val="57919C8E"/>
    <w:rsid w:val="5793D2B5"/>
    <w:rsid w:val="57AA98BB"/>
    <w:rsid w:val="57B04B1C"/>
    <w:rsid w:val="57C47D45"/>
    <w:rsid w:val="57C619B4"/>
    <w:rsid w:val="57C7EEF3"/>
    <w:rsid w:val="57CE3A94"/>
    <w:rsid w:val="57E66A8C"/>
    <w:rsid w:val="57E8FAC9"/>
    <w:rsid w:val="58028CE4"/>
    <w:rsid w:val="5817DD8C"/>
    <w:rsid w:val="5825A400"/>
    <w:rsid w:val="5828ED58"/>
    <w:rsid w:val="582B00E1"/>
    <w:rsid w:val="582B435A"/>
    <w:rsid w:val="582C1577"/>
    <w:rsid w:val="582D595F"/>
    <w:rsid w:val="58352D6E"/>
    <w:rsid w:val="5838512C"/>
    <w:rsid w:val="583C760A"/>
    <w:rsid w:val="5846968E"/>
    <w:rsid w:val="585F67B5"/>
    <w:rsid w:val="58661D43"/>
    <w:rsid w:val="58701B66"/>
    <w:rsid w:val="588A5F16"/>
    <w:rsid w:val="5897021B"/>
    <w:rsid w:val="58980810"/>
    <w:rsid w:val="58B3C1B9"/>
    <w:rsid w:val="58B836A9"/>
    <w:rsid w:val="58B990F7"/>
    <w:rsid w:val="58BAA551"/>
    <w:rsid w:val="58C5B190"/>
    <w:rsid w:val="58D4342E"/>
    <w:rsid w:val="58E43659"/>
    <w:rsid w:val="59084549"/>
    <w:rsid w:val="591CC7DE"/>
    <w:rsid w:val="5942A99A"/>
    <w:rsid w:val="5948E156"/>
    <w:rsid w:val="594B1AAE"/>
    <w:rsid w:val="59541E69"/>
    <w:rsid w:val="595B3002"/>
    <w:rsid w:val="596C2382"/>
    <w:rsid w:val="596DD8B6"/>
    <w:rsid w:val="59841E7E"/>
    <w:rsid w:val="598B889A"/>
    <w:rsid w:val="59927D1F"/>
    <w:rsid w:val="5994D283"/>
    <w:rsid w:val="5996F76C"/>
    <w:rsid w:val="59B02336"/>
    <w:rsid w:val="59C37258"/>
    <w:rsid w:val="59C7F923"/>
    <w:rsid w:val="59DF0836"/>
    <w:rsid w:val="59F75CFB"/>
    <w:rsid w:val="5A0C8E37"/>
    <w:rsid w:val="5A15474F"/>
    <w:rsid w:val="5A1942ED"/>
    <w:rsid w:val="5A1E74E0"/>
    <w:rsid w:val="5A2343C1"/>
    <w:rsid w:val="5A24EBA7"/>
    <w:rsid w:val="5A25631A"/>
    <w:rsid w:val="5A28548A"/>
    <w:rsid w:val="5A3053FF"/>
    <w:rsid w:val="5A3E2B06"/>
    <w:rsid w:val="5A41487B"/>
    <w:rsid w:val="5A428BC9"/>
    <w:rsid w:val="5A56F349"/>
    <w:rsid w:val="5A5A4B1C"/>
    <w:rsid w:val="5A5AD3BB"/>
    <w:rsid w:val="5A6F0469"/>
    <w:rsid w:val="5A6F347A"/>
    <w:rsid w:val="5A81C016"/>
    <w:rsid w:val="5A850094"/>
    <w:rsid w:val="5AA1C503"/>
    <w:rsid w:val="5AC06458"/>
    <w:rsid w:val="5AC0A7CC"/>
    <w:rsid w:val="5AC23B9E"/>
    <w:rsid w:val="5AE3625E"/>
    <w:rsid w:val="5AFAE92C"/>
    <w:rsid w:val="5B1D85BA"/>
    <w:rsid w:val="5B4EB20C"/>
    <w:rsid w:val="5B566834"/>
    <w:rsid w:val="5B5CD038"/>
    <w:rsid w:val="5B7217B6"/>
    <w:rsid w:val="5B7D5D16"/>
    <w:rsid w:val="5BA4AD43"/>
    <w:rsid w:val="5BB0B4CE"/>
    <w:rsid w:val="5BBF00A2"/>
    <w:rsid w:val="5BC4BE01"/>
    <w:rsid w:val="5BCD8660"/>
    <w:rsid w:val="5BEA78C7"/>
    <w:rsid w:val="5C0670EF"/>
    <w:rsid w:val="5C06ED51"/>
    <w:rsid w:val="5C09356B"/>
    <w:rsid w:val="5C09456A"/>
    <w:rsid w:val="5C2259C9"/>
    <w:rsid w:val="5C405A6E"/>
    <w:rsid w:val="5C4B309F"/>
    <w:rsid w:val="5C5B33C3"/>
    <w:rsid w:val="5C5BE1A4"/>
    <w:rsid w:val="5C655229"/>
    <w:rsid w:val="5C6E73DA"/>
    <w:rsid w:val="5C841FAA"/>
    <w:rsid w:val="5C872218"/>
    <w:rsid w:val="5CA68A13"/>
    <w:rsid w:val="5CAA6F46"/>
    <w:rsid w:val="5CB171E9"/>
    <w:rsid w:val="5CB56A8C"/>
    <w:rsid w:val="5CBABA4C"/>
    <w:rsid w:val="5CCA6DB4"/>
    <w:rsid w:val="5CD8D933"/>
    <w:rsid w:val="5CD9EF53"/>
    <w:rsid w:val="5CF1C3D0"/>
    <w:rsid w:val="5D02362C"/>
    <w:rsid w:val="5D06FC06"/>
    <w:rsid w:val="5D0CEE02"/>
    <w:rsid w:val="5D242452"/>
    <w:rsid w:val="5D31D58A"/>
    <w:rsid w:val="5D3EFF71"/>
    <w:rsid w:val="5D46F53A"/>
    <w:rsid w:val="5D4C2A7A"/>
    <w:rsid w:val="5D593A7A"/>
    <w:rsid w:val="5D69CC6A"/>
    <w:rsid w:val="5D7962B7"/>
    <w:rsid w:val="5D980C3D"/>
    <w:rsid w:val="5DA1B33C"/>
    <w:rsid w:val="5DA56BBC"/>
    <w:rsid w:val="5DAC3F6F"/>
    <w:rsid w:val="5DBC677C"/>
    <w:rsid w:val="5DC1EA8A"/>
    <w:rsid w:val="5DCD077D"/>
    <w:rsid w:val="5DDFD459"/>
    <w:rsid w:val="5DE2FDC3"/>
    <w:rsid w:val="5DFB80AB"/>
    <w:rsid w:val="5DFD1BA4"/>
    <w:rsid w:val="5DFF75AD"/>
    <w:rsid w:val="5E034079"/>
    <w:rsid w:val="5E03844E"/>
    <w:rsid w:val="5E129846"/>
    <w:rsid w:val="5E20E183"/>
    <w:rsid w:val="5E2A9D75"/>
    <w:rsid w:val="5E3AB740"/>
    <w:rsid w:val="5E5B94C6"/>
    <w:rsid w:val="5E5D3407"/>
    <w:rsid w:val="5E6B61EE"/>
    <w:rsid w:val="5E8FC762"/>
    <w:rsid w:val="5E93B7C4"/>
    <w:rsid w:val="5EA00DD0"/>
    <w:rsid w:val="5EAFB71E"/>
    <w:rsid w:val="5EC47113"/>
    <w:rsid w:val="5ECBC406"/>
    <w:rsid w:val="5ECC5235"/>
    <w:rsid w:val="5EE066BB"/>
    <w:rsid w:val="5EE0A64E"/>
    <w:rsid w:val="5EE14C86"/>
    <w:rsid w:val="5EF4BC85"/>
    <w:rsid w:val="5F039A9C"/>
    <w:rsid w:val="5F03FCAD"/>
    <w:rsid w:val="5F1FFC54"/>
    <w:rsid w:val="5F27207A"/>
    <w:rsid w:val="5F293835"/>
    <w:rsid w:val="5F2B16CE"/>
    <w:rsid w:val="5F31A9E7"/>
    <w:rsid w:val="5F5D1918"/>
    <w:rsid w:val="5F8C9598"/>
    <w:rsid w:val="5F90897E"/>
    <w:rsid w:val="5F927EA4"/>
    <w:rsid w:val="5F944C67"/>
    <w:rsid w:val="5FA0D685"/>
    <w:rsid w:val="5FA112DE"/>
    <w:rsid w:val="5FA6BACA"/>
    <w:rsid w:val="5FCB3215"/>
    <w:rsid w:val="5FCBC565"/>
    <w:rsid w:val="5FD367DE"/>
    <w:rsid w:val="5FD7173A"/>
    <w:rsid w:val="5FD79265"/>
    <w:rsid w:val="5FE0CE17"/>
    <w:rsid w:val="5FE119FF"/>
    <w:rsid w:val="5FE35892"/>
    <w:rsid w:val="5FE41A36"/>
    <w:rsid w:val="5FEAB794"/>
    <w:rsid w:val="5FEC7C3A"/>
    <w:rsid w:val="5FF0BFBB"/>
    <w:rsid w:val="5FF1055B"/>
    <w:rsid w:val="600B7DB7"/>
    <w:rsid w:val="602078C6"/>
    <w:rsid w:val="60240F20"/>
    <w:rsid w:val="602ACFF0"/>
    <w:rsid w:val="60324A95"/>
    <w:rsid w:val="60351986"/>
    <w:rsid w:val="6043BC83"/>
    <w:rsid w:val="604B27AE"/>
    <w:rsid w:val="6071419F"/>
    <w:rsid w:val="607E8CFD"/>
    <w:rsid w:val="60837899"/>
    <w:rsid w:val="60957485"/>
    <w:rsid w:val="609BB615"/>
    <w:rsid w:val="60B9698B"/>
    <w:rsid w:val="60C449EC"/>
    <w:rsid w:val="60C609DD"/>
    <w:rsid w:val="60C93890"/>
    <w:rsid w:val="60CC819B"/>
    <w:rsid w:val="60CC81B8"/>
    <w:rsid w:val="60D9702A"/>
    <w:rsid w:val="60DEEF57"/>
    <w:rsid w:val="60E1B2DA"/>
    <w:rsid w:val="60EB23A2"/>
    <w:rsid w:val="60F93FC2"/>
    <w:rsid w:val="61015A71"/>
    <w:rsid w:val="61354EAC"/>
    <w:rsid w:val="61494484"/>
    <w:rsid w:val="615EE3B0"/>
    <w:rsid w:val="616B696A"/>
    <w:rsid w:val="616BE7FE"/>
    <w:rsid w:val="617AEC61"/>
    <w:rsid w:val="619887B0"/>
    <w:rsid w:val="61A3BCE5"/>
    <w:rsid w:val="61AA3BC1"/>
    <w:rsid w:val="61B6110D"/>
    <w:rsid w:val="61C6BD5A"/>
    <w:rsid w:val="61D176C9"/>
    <w:rsid w:val="61D24A0D"/>
    <w:rsid w:val="61E0BCC4"/>
    <w:rsid w:val="61F7725B"/>
    <w:rsid w:val="620C62C7"/>
    <w:rsid w:val="62250DB7"/>
    <w:rsid w:val="622AFEB4"/>
    <w:rsid w:val="622BB1F9"/>
    <w:rsid w:val="6233F736"/>
    <w:rsid w:val="626C00E6"/>
    <w:rsid w:val="626DE193"/>
    <w:rsid w:val="628D4E0C"/>
    <w:rsid w:val="6292F097"/>
    <w:rsid w:val="62944B05"/>
    <w:rsid w:val="6296999F"/>
    <w:rsid w:val="62A3299A"/>
    <w:rsid w:val="62ABCA55"/>
    <w:rsid w:val="62ADFE05"/>
    <w:rsid w:val="62DA2F24"/>
    <w:rsid w:val="62E7A5CB"/>
    <w:rsid w:val="62F1E7C0"/>
    <w:rsid w:val="62FA914C"/>
    <w:rsid w:val="6302C3B4"/>
    <w:rsid w:val="631869AF"/>
    <w:rsid w:val="632D6047"/>
    <w:rsid w:val="632EE930"/>
    <w:rsid w:val="6338A3D8"/>
    <w:rsid w:val="63407519"/>
    <w:rsid w:val="63483D6F"/>
    <w:rsid w:val="634FD0B8"/>
    <w:rsid w:val="63573396"/>
    <w:rsid w:val="635CE5B9"/>
    <w:rsid w:val="63677EE5"/>
    <w:rsid w:val="6374B82E"/>
    <w:rsid w:val="63866B78"/>
    <w:rsid w:val="6390B6E2"/>
    <w:rsid w:val="639C6B32"/>
    <w:rsid w:val="63A915A5"/>
    <w:rsid w:val="63C7A946"/>
    <w:rsid w:val="63D07B7D"/>
    <w:rsid w:val="63D55A3C"/>
    <w:rsid w:val="63DF1E5F"/>
    <w:rsid w:val="63DF944B"/>
    <w:rsid w:val="63ED5661"/>
    <w:rsid w:val="63F9A155"/>
    <w:rsid w:val="640EC8EC"/>
    <w:rsid w:val="640F7303"/>
    <w:rsid w:val="64147C97"/>
    <w:rsid w:val="64229A3F"/>
    <w:rsid w:val="643385FA"/>
    <w:rsid w:val="643A3C51"/>
    <w:rsid w:val="64446024"/>
    <w:rsid w:val="64505368"/>
    <w:rsid w:val="646C5893"/>
    <w:rsid w:val="647AF023"/>
    <w:rsid w:val="647C7E8C"/>
    <w:rsid w:val="6491EE10"/>
    <w:rsid w:val="64AC5A81"/>
    <w:rsid w:val="64B3AF43"/>
    <w:rsid w:val="64B3FE17"/>
    <w:rsid w:val="64B8A5CB"/>
    <w:rsid w:val="64BA9C76"/>
    <w:rsid w:val="64BDEE5E"/>
    <w:rsid w:val="64C9F0BF"/>
    <w:rsid w:val="64D1109F"/>
    <w:rsid w:val="64D27A7F"/>
    <w:rsid w:val="64DD93CF"/>
    <w:rsid w:val="64DFBDBD"/>
    <w:rsid w:val="64F5AFDC"/>
    <w:rsid w:val="6502AB8F"/>
    <w:rsid w:val="6532AE3E"/>
    <w:rsid w:val="6541F407"/>
    <w:rsid w:val="654C6A39"/>
    <w:rsid w:val="6550D9CF"/>
    <w:rsid w:val="6555592F"/>
    <w:rsid w:val="656091C9"/>
    <w:rsid w:val="656960F1"/>
    <w:rsid w:val="656F9AE1"/>
    <w:rsid w:val="659607DC"/>
    <w:rsid w:val="659995EB"/>
    <w:rsid w:val="659EE81D"/>
    <w:rsid w:val="65A2B09E"/>
    <w:rsid w:val="65B77DC3"/>
    <w:rsid w:val="65B9D064"/>
    <w:rsid w:val="65CD3FAC"/>
    <w:rsid w:val="65CF3FDF"/>
    <w:rsid w:val="65E52527"/>
    <w:rsid w:val="65E8AF12"/>
    <w:rsid w:val="65EB1FA0"/>
    <w:rsid w:val="65F37959"/>
    <w:rsid w:val="6602BE3C"/>
    <w:rsid w:val="660C51B2"/>
    <w:rsid w:val="6616AF0B"/>
    <w:rsid w:val="661B068E"/>
    <w:rsid w:val="661B390A"/>
    <w:rsid w:val="662F7333"/>
    <w:rsid w:val="6641CB46"/>
    <w:rsid w:val="664807AD"/>
    <w:rsid w:val="664C3FF6"/>
    <w:rsid w:val="66527DEE"/>
    <w:rsid w:val="66542BE6"/>
    <w:rsid w:val="6664EA6E"/>
    <w:rsid w:val="667BB880"/>
    <w:rsid w:val="6695817F"/>
    <w:rsid w:val="669D669A"/>
    <w:rsid w:val="66A69A2A"/>
    <w:rsid w:val="66B76F04"/>
    <w:rsid w:val="66C01448"/>
    <w:rsid w:val="66C9FA56"/>
    <w:rsid w:val="66CEC285"/>
    <w:rsid w:val="66E6CA8D"/>
    <w:rsid w:val="66E76DDB"/>
    <w:rsid w:val="673226AC"/>
    <w:rsid w:val="67333B50"/>
    <w:rsid w:val="6733680F"/>
    <w:rsid w:val="673E5503"/>
    <w:rsid w:val="674322F4"/>
    <w:rsid w:val="6744F1BF"/>
    <w:rsid w:val="6761CB08"/>
    <w:rsid w:val="67683E19"/>
    <w:rsid w:val="676AA8F2"/>
    <w:rsid w:val="676D6F6B"/>
    <w:rsid w:val="6776165E"/>
    <w:rsid w:val="67937E67"/>
    <w:rsid w:val="6797290F"/>
    <w:rsid w:val="679DD086"/>
    <w:rsid w:val="67A7F64C"/>
    <w:rsid w:val="67B54E7F"/>
    <w:rsid w:val="67BD54E0"/>
    <w:rsid w:val="67C53BA2"/>
    <w:rsid w:val="67DDA2DF"/>
    <w:rsid w:val="67F8BAF8"/>
    <w:rsid w:val="6814AA36"/>
    <w:rsid w:val="6814D272"/>
    <w:rsid w:val="681C20B9"/>
    <w:rsid w:val="6825CA34"/>
    <w:rsid w:val="682B67AF"/>
    <w:rsid w:val="6836E146"/>
    <w:rsid w:val="6859E683"/>
    <w:rsid w:val="68603B3E"/>
    <w:rsid w:val="68815C21"/>
    <w:rsid w:val="689CB0D7"/>
    <w:rsid w:val="68A7BD9D"/>
    <w:rsid w:val="68AA43A6"/>
    <w:rsid w:val="68AB0559"/>
    <w:rsid w:val="68B8D9E3"/>
    <w:rsid w:val="68CCA587"/>
    <w:rsid w:val="68EAB1FC"/>
    <w:rsid w:val="68FE6476"/>
    <w:rsid w:val="69025A4D"/>
    <w:rsid w:val="6909B404"/>
    <w:rsid w:val="6919AA11"/>
    <w:rsid w:val="692F149F"/>
    <w:rsid w:val="69462E93"/>
    <w:rsid w:val="6962CEF2"/>
    <w:rsid w:val="697B25A9"/>
    <w:rsid w:val="6981E975"/>
    <w:rsid w:val="6982009E"/>
    <w:rsid w:val="698254A3"/>
    <w:rsid w:val="698333B4"/>
    <w:rsid w:val="69853DC5"/>
    <w:rsid w:val="698DADAC"/>
    <w:rsid w:val="698ED786"/>
    <w:rsid w:val="69947496"/>
    <w:rsid w:val="6996CBEC"/>
    <w:rsid w:val="699D53B9"/>
    <w:rsid w:val="69A5C58C"/>
    <w:rsid w:val="69B67DEF"/>
    <w:rsid w:val="69B7F1C8"/>
    <w:rsid w:val="69BD0A3F"/>
    <w:rsid w:val="69C7D32C"/>
    <w:rsid w:val="69E127AE"/>
    <w:rsid w:val="69EB01ED"/>
    <w:rsid w:val="6A178058"/>
    <w:rsid w:val="6A178A36"/>
    <w:rsid w:val="6A17C009"/>
    <w:rsid w:val="6A1F6415"/>
    <w:rsid w:val="6A2107FF"/>
    <w:rsid w:val="6A2250F5"/>
    <w:rsid w:val="6A279233"/>
    <w:rsid w:val="6A2C355A"/>
    <w:rsid w:val="6A3AB75D"/>
    <w:rsid w:val="6A40429F"/>
    <w:rsid w:val="6A5AC400"/>
    <w:rsid w:val="6A60F3BD"/>
    <w:rsid w:val="6A75C97C"/>
    <w:rsid w:val="6A7B67CE"/>
    <w:rsid w:val="6A85E303"/>
    <w:rsid w:val="6A9B03BA"/>
    <w:rsid w:val="6AAA25E5"/>
    <w:rsid w:val="6AB86700"/>
    <w:rsid w:val="6ABE406E"/>
    <w:rsid w:val="6ABEC1A0"/>
    <w:rsid w:val="6AD1BB58"/>
    <w:rsid w:val="6AF7948E"/>
    <w:rsid w:val="6B065438"/>
    <w:rsid w:val="6B1334F8"/>
    <w:rsid w:val="6B240BD1"/>
    <w:rsid w:val="6B28DA04"/>
    <w:rsid w:val="6B2B430F"/>
    <w:rsid w:val="6B3B4713"/>
    <w:rsid w:val="6B497270"/>
    <w:rsid w:val="6B66BA32"/>
    <w:rsid w:val="6B7FBDB1"/>
    <w:rsid w:val="6B8ACDCB"/>
    <w:rsid w:val="6BA5C4FA"/>
    <w:rsid w:val="6BAF0497"/>
    <w:rsid w:val="6BB4DA4D"/>
    <w:rsid w:val="6BB6BC8D"/>
    <w:rsid w:val="6BC0B400"/>
    <w:rsid w:val="6BC30D51"/>
    <w:rsid w:val="6BDB6C3D"/>
    <w:rsid w:val="6BDD82A3"/>
    <w:rsid w:val="6BDFB643"/>
    <w:rsid w:val="6BF9AFD5"/>
    <w:rsid w:val="6BFF8032"/>
    <w:rsid w:val="6C04320B"/>
    <w:rsid w:val="6C11F1D5"/>
    <w:rsid w:val="6C1D8E46"/>
    <w:rsid w:val="6C3B4052"/>
    <w:rsid w:val="6C591DDE"/>
    <w:rsid w:val="6CAFA634"/>
    <w:rsid w:val="6CCDE093"/>
    <w:rsid w:val="6CCED428"/>
    <w:rsid w:val="6CD17E97"/>
    <w:rsid w:val="6CE3CC05"/>
    <w:rsid w:val="6CE501DD"/>
    <w:rsid w:val="6CEC5BB7"/>
    <w:rsid w:val="6CEE0144"/>
    <w:rsid w:val="6CF3B5C8"/>
    <w:rsid w:val="6CFF7800"/>
    <w:rsid w:val="6D04CA06"/>
    <w:rsid w:val="6D0B380C"/>
    <w:rsid w:val="6D354A26"/>
    <w:rsid w:val="6D48CE6B"/>
    <w:rsid w:val="6D4CAB8E"/>
    <w:rsid w:val="6D588978"/>
    <w:rsid w:val="6D6D9097"/>
    <w:rsid w:val="6D7FA4CB"/>
    <w:rsid w:val="6D82EDFC"/>
    <w:rsid w:val="6D974A74"/>
    <w:rsid w:val="6D98D981"/>
    <w:rsid w:val="6DC0BB14"/>
    <w:rsid w:val="6DC3E87F"/>
    <w:rsid w:val="6DC97F6D"/>
    <w:rsid w:val="6DD40666"/>
    <w:rsid w:val="6DE24BCD"/>
    <w:rsid w:val="6DE2B65D"/>
    <w:rsid w:val="6DEC44D2"/>
    <w:rsid w:val="6DF7CDCE"/>
    <w:rsid w:val="6DFC7372"/>
    <w:rsid w:val="6E0350B4"/>
    <w:rsid w:val="6E0D7CB0"/>
    <w:rsid w:val="6E249005"/>
    <w:rsid w:val="6E2F17A4"/>
    <w:rsid w:val="6E554977"/>
    <w:rsid w:val="6E56090F"/>
    <w:rsid w:val="6E68A65D"/>
    <w:rsid w:val="6E7BC2EF"/>
    <w:rsid w:val="6E856FB7"/>
    <w:rsid w:val="6E87A5B8"/>
    <w:rsid w:val="6EA19798"/>
    <w:rsid w:val="6EA35FC5"/>
    <w:rsid w:val="6EA7E84E"/>
    <w:rsid w:val="6EB69C18"/>
    <w:rsid w:val="6EB95075"/>
    <w:rsid w:val="6ED4AB18"/>
    <w:rsid w:val="6EEF2ADB"/>
    <w:rsid w:val="6EF48510"/>
    <w:rsid w:val="6F0D3190"/>
    <w:rsid w:val="6F1B830F"/>
    <w:rsid w:val="6F2D1031"/>
    <w:rsid w:val="6F3F6AE1"/>
    <w:rsid w:val="6F424DD5"/>
    <w:rsid w:val="6F435407"/>
    <w:rsid w:val="6F66909C"/>
    <w:rsid w:val="6F71CE46"/>
    <w:rsid w:val="6F747150"/>
    <w:rsid w:val="6F860536"/>
    <w:rsid w:val="6F86B130"/>
    <w:rsid w:val="6F8A12F5"/>
    <w:rsid w:val="6F8D6A09"/>
    <w:rsid w:val="6F8F216A"/>
    <w:rsid w:val="6FAAE3D7"/>
    <w:rsid w:val="6FB265CB"/>
    <w:rsid w:val="6FBF5E7A"/>
    <w:rsid w:val="6FC3A3EF"/>
    <w:rsid w:val="6FC80AB4"/>
    <w:rsid w:val="6FCD59D9"/>
    <w:rsid w:val="6FF894EC"/>
    <w:rsid w:val="6FFA961C"/>
    <w:rsid w:val="6FFB564B"/>
    <w:rsid w:val="7010FC8E"/>
    <w:rsid w:val="701AEA5A"/>
    <w:rsid w:val="701DB4BF"/>
    <w:rsid w:val="7021F5A2"/>
    <w:rsid w:val="70330680"/>
    <w:rsid w:val="7039D736"/>
    <w:rsid w:val="705C064A"/>
    <w:rsid w:val="705DB479"/>
    <w:rsid w:val="7065121E"/>
    <w:rsid w:val="7071C651"/>
    <w:rsid w:val="707CB66D"/>
    <w:rsid w:val="707E1367"/>
    <w:rsid w:val="70989867"/>
    <w:rsid w:val="709A7709"/>
    <w:rsid w:val="709F0B87"/>
    <w:rsid w:val="70C13724"/>
    <w:rsid w:val="70C4C355"/>
    <w:rsid w:val="70D51BE4"/>
    <w:rsid w:val="70DBDE96"/>
    <w:rsid w:val="70F71E90"/>
    <w:rsid w:val="7102604F"/>
    <w:rsid w:val="7107A823"/>
    <w:rsid w:val="710FDAC3"/>
    <w:rsid w:val="7125B2A2"/>
    <w:rsid w:val="7126D070"/>
    <w:rsid w:val="712A7AC5"/>
    <w:rsid w:val="713B98CF"/>
    <w:rsid w:val="7145B41B"/>
    <w:rsid w:val="714DAA8C"/>
    <w:rsid w:val="714EDFEC"/>
    <w:rsid w:val="71555D73"/>
    <w:rsid w:val="715CBEDB"/>
    <w:rsid w:val="715CDB7D"/>
    <w:rsid w:val="716BCFE2"/>
    <w:rsid w:val="7170069A"/>
    <w:rsid w:val="7175585C"/>
    <w:rsid w:val="7181BBAB"/>
    <w:rsid w:val="7181DA3F"/>
    <w:rsid w:val="71963C42"/>
    <w:rsid w:val="7196CB09"/>
    <w:rsid w:val="71B713A4"/>
    <w:rsid w:val="71CEF884"/>
    <w:rsid w:val="71D8B3E6"/>
    <w:rsid w:val="71E31131"/>
    <w:rsid w:val="71E3E7FB"/>
    <w:rsid w:val="71FDD407"/>
    <w:rsid w:val="7205E732"/>
    <w:rsid w:val="720F3030"/>
    <w:rsid w:val="72156986"/>
    <w:rsid w:val="7222B47A"/>
    <w:rsid w:val="72282F3F"/>
    <w:rsid w:val="7255DCF5"/>
    <w:rsid w:val="7259B129"/>
    <w:rsid w:val="726CCBDA"/>
    <w:rsid w:val="72727B82"/>
    <w:rsid w:val="728A452B"/>
    <w:rsid w:val="728B1E34"/>
    <w:rsid w:val="728FB6AB"/>
    <w:rsid w:val="729DF3BE"/>
    <w:rsid w:val="72B92AE4"/>
    <w:rsid w:val="72BA4F38"/>
    <w:rsid w:val="72C244C3"/>
    <w:rsid w:val="72CD74B5"/>
    <w:rsid w:val="72E32438"/>
    <w:rsid w:val="72EBA34A"/>
    <w:rsid w:val="72F5535E"/>
    <w:rsid w:val="72F8147C"/>
    <w:rsid w:val="73005995"/>
    <w:rsid w:val="730077FE"/>
    <w:rsid w:val="730A6767"/>
    <w:rsid w:val="730FEE7B"/>
    <w:rsid w:val="7319B396"/>
    <w:rsid w:val="731E3FE0"/>
    <w:rsid w:val="735E4753"/>
    <w:rsid w:val="735EB835"/>
    <w:rsid w:val="73723826"/>
    <w:rsid w:val="73779E0B"/>
    <w:rsid w:val="7393BA47"/>
    <w:rsid w:val="739A21D3"/>
    <w:rsid w:val="73B34C7F"/>
    <w:rsid w:val="73B443AA"/>
    <w:rsid w:val="73BADC2C"/>
    <w:rsid w:val="73BE3159"/>
    <w:rsid w:val="73C39CB9"/>
    <w:rsid w:val="73CADEC7"/>
    <w:rsid w:val="73CB06F5"/>
    <w:rsid w:val="73D596C2"/>
    <w:rsid w:val="73D6E3EB"/>
    <w:rsid w:val="73D7A0D0"/>
    <w:rsid w:val="73D8006B"/>
    <w:rsid w:val="73E7A4BC"/>
    <w:rsid w:val="73EB7D06"/>
    <w:rsid w:val="73EEEF90"/>
    <w:rsid w:val="73FDB90B"/>
    <w:rsid w:val="74058803"/>
    <w:rsid w:val="7405C60B"/>
    <w:rsid w:val="7422F6F6"/>
    <w:rsid w:val="742BED3C"/>
    <w:rsid w:val="7441FE1C"/>
    <w:rsid w:val="7448A933"/>
    <w:rsid w:val="7465562D"/>
    <w:rsid w:val="746A5E3A"/>
    <w:rsid w:val="7482BBB5"/>
    <w:rsid w:val="7487990C"/>
    <w:rsid w:val="74C6B2B4"/>
    <w:rsid w:val="74CC2D97"/>
    <w:rsid w:val="74DA612E"/>
    <w:rsid w:val="74EAB969"/>
    <w:rsid w:val="74F7A9A0"/>
    <w:rsid w:val="74FE0F9D"/>
    <w:rsid w:val="7505B940"/>
    <w:rsid w:val="752D8669"/>
    <w:rsid w:val="7530C40D"/>
    <w:rsid w:val="75320E94"/>
    <w:rsid w:val="75358533"/>
    <w:rsid w:val="753770B1"/>
    <w:rsid w:val="7537F369"/>
    <w:rsid w:val="754DF296"/>
    <w:rsid w:val="754F6466"/>
    <w:rsid w:val="755A86F2"/>
    <w:rsid w:val="7560A63A"/>
    <w:rsid w:val="75651402"/>
    <w:rsid w:val="756B4CDD"/>
    <w:rsid w:val="7575D717"/>
    <w:rsid w:val="75923D1E"/>
    <w:rsid w:val="759FD1EA"/>
    <w:rsid w:val="75AA4680"/>
    <w:rsid w:val="75AFDE5A"/>
    <w:rsid w:val="75C1EB77"/>
    <w:rsid w:val="75C5AF23"/>
    <w:rsid w:val="75C85E6E"/>
    <w:rsid w:val="75DEC3C7"/>
    <w:rsid w:val="75E12787"/>
    <w:rsid w:val="75E5AC17"/>
    <w:rsid w:val="75EABDDC"/>
    <w:rsid w:val="760161FB"/>
    <w:rsid w:val="7609BF5F"/>
    <w:rsid w:val="760EBD28"/>
    <w:rsid w:val="761724DD"/>
    <w:rsid w:val="76248642"/>
    <w:rsid w:val="7628D44C"/>
    <w:rsid w:val="7632DDF8"/>
    <w:rsid w:val="76366EFF"/>
    <w:rsid w:val="764441F1"/>
    <w:rsid w:val="766BA701"/>
    <w:rsid w:val="766E2EE4"/>
    <w:rsid w:val="76716165"/>
    <w:rsid w:val="768A30F9"/>
    <w:rsid w:val="7699271F"/>
    <w:rsid w:val="76A9FC13"/>
    <w:rsid w:val="76E5EFA3"/>
    <w:rsid w:val="76ED539F"/>
    <w:rsid w:val="76EEA2C0"/>
    <w:rsid w:val="76F53DA5"/>
    <w:rsid w:val="7705A830"/>
    <w:rsid w:val="770DCC6C"/>
    <w:rsid w:val="771BB5AE"/>
    <w:rsid w:val="771C8F5E"/>
    <w:rsid w:val="77203D3D"/>
    <w:rsid w:val="772DDDFB"/>
    <w:rsid w:val="774418D9"/>
    <w:rsid w:val="7746D17C"/>
    <w:rsid w:val="774A095F"/>
    <w:rsid w:val="77637C0B"/>
    <w:rsid w:val="77ACC8B8"/>
    <w:rsid w:val="77B9544F"/>
    <w:rsid w:val="77C1F702"/>
    <w:rsid w:val="77C93970"/>
    <w:rsid w:val="77D5D881"/>
    <w:rsid w:val="77DC1976"/>
    <w:rsid w:val="77DC7555"/>
    <w:rsid w:val="77E157CA"/>
    <w:rsid w:val="77E74867"/>
    <w:rsid w:val="781CBCFF"/>
    <w:rsid w:val="781E0162"/>
    <w:rsid w:val="783E645A"/>
    <w:rsid w:val="78D0B432"/>
    <w:rsid w:val="78D3385A"/>
    <w:rsid w:val="78E74346"/>
    <w:rsid w:val="78E8396A"/>
    <w:rsid w:val="78EB6333"/>
    <w:rsid w:val="790128E1"/>
    <w:rsid w:val="7926B32C"/>
    <w:rsid w:val="79426A60"/>
    <w:rsid w:val="79738D19"/>
    <w:rsid w:val="797B993F"/>
    <w:rsid w:val="797E88C4"/>
    <w:rsid w:val="7982DA96"/>
    <w:rsid w:val="798E39C4"/>
    <w:rsid w:val="7992B992"/>
    <w:rsid w:val="79A6E77F"/>
    <w:rsid w:val="79B16305"/>
    <w:rsid w:val="79B20D7B"/>
    <w:rsid w:val="79C3001F"/>
    <w:rsid w:val="79FBDB6A"/>
    <w:rsid w:val="7A052918"/>
    <w:rsid w:val="7A1DF03B"/>
    <w:rsid w:val="7A2AEACA"/>
    <w:rsid w:val="7A38A20D"/>
    <w:rsid w:val="7A39E725"/>
    <w:rsid w:val="7A4CE370"/>
    <w:rsid w:val="7A514F63"/>
    <w:rsid w:val="7A734BAC"/>
    <w:rsid w:val="7A96B124"/>
    <w:rsid w:val="7A9BC220"/>
    <w:rsid w:val="7AA6F03E"/>
    <w:rsid w:val="7AB63E09"/>
    <w:rsid w:val="7AB81877"/>
    <w:rsid w:val="7ABB4D63"/>
    <w:rsid w:val="7AC8D8AA"/>
    <w:rsid w:val="7ACA4AB5"/>
    <w:rsid w:val="7B00A250"/>
    <w:rsid w:val="7B0BACF4"/>
    <w:rsid w:val="7B0E17C1"/>
    <w:rsid w:val="7B0E94D4"/>
    <w:rsid w:val="7B164C2A"/>
    <w:rsid w:val="7B3A8854"/>
    <w:rsid w:val="7B3C2C69"/>
    <w:rsid w:val="7B4C4A18"/>
    <w:rsid w:val="7B53EE70"/>
    <w:rsid w:val="7B58E85E"/>
    <w:rsid w:val="7B593A20"/>
    <w:rsid w:val="7B6C0531"/>
    <w:rsid w:val="7B6FD45A"/>
    <w:rsid w:val="7B7DD641"/>
    <w:rsid w:val="7B939AA8"/>
    <w:rsid w:val="7B9A2A1A"/>
    <w:rsid w:val="7BA5CE69"/>
    <w:rsid w:val="7BB246AD"/>
    <w:rsid w:val="7BBC1F05"/>
    <w:rsid w:val="7BBF4733"/>
    <w:rsid w:val="7BC30FF5"/>
    <w:rsid w:val="7BCE998C"/>
    <w:rsid w:val="7BD7ADCB"/>
    <w:rsid w:val="7BE4D512"/>
    <w:rsid w:val="7BE703D6"/>
    <w:rsid w:val="7BF3880E"/>
    <w:rsid w:val="7BF3957C"/>
    <w:rsid w:val="7BFCF87C"/>
    <w:rsid w:val="7C10E686"/>
    <w:rsid w:val="7C22B15A"/>
    <w:rsid w:val="7C237D5D"/>
    <w:rsid w:val="7C2D7D63"/>
    <w:rsid w:val="7C2FAC54"/>
    <w:rsid w:val="7C30ED5C"/>
    <w:rsid w:val="7C35C07E"/>
    <w:rsid w:val="7C390139"/>
    <w:rsid w:val="7C5508FC"/>
    <w:rsid w:val="7C64E25A"/>
    <w:rsid w:val="7C69B9B4"/>
    <w:rsid w:val="7C6E9B4F"/>
    <w:rsid w:val="7C9168F6"/>
    <w:rsid w:val="7C929F61"/>
    <w:rsid w:val="7CA28C7F"/>
    <w:rsid w:val="7CA8EE4E"/>
    <w:rsid w:val="7CAD2D8D"/>
    <w:rsid w:val="7CB2B865"/>
    <w:rsid w:val="7CBEC301"/>
    <w:rsid w:val="7CC1482B"/>
    <w:rsid w:val="7CC5B1D0"/>
    <w:rsid w:val="7CCEBC57"/>
    <w:rsid w:val="7CD29E23"/>
    <w:rsid w:val="7CD4EDFB"/>
    <w:rsid w:val="7CD9873A"/>
    <w:rsid w:val="7CE872A4"/>
    <w:rsid w:val="7CEA7F7C"/>
    <w:rsid w:val="7CF57755"/>
    <w:rsid w:val="7CFB1DAA"/>
    <w:rsid w:val="7CFDCAC8"/>
    <w:rsid w:val="7D01BBA0"/>
    <w:rsid w:val="7D05FF6C"/>
    <w:rsid w:val="7D100498"/>
    <w:rsid w:val="7D1EB2E5"/>
    <w:rsid w:val="7D2B6C9E"/>
    <w:rsid w:val="7D404788"/>
    <w:rsid w:val="7D4225A5"/>
    <w:rsid w:val="7D5B5960"/>
    <w:rsid w:val="7D5BF6C7"/>
    <w:rsid w:val="7D5D8F56"/>
    <w:rsid w:val="7D6CD9A1"/>
    <w:rsid w:val="7D6DD482"/>
    <w:rsid w:val="7D83EE02"/>
    <w:rsid w:val="7D841E94"/>
    <w:rsid w:val="7D877536"/>
    <w:rsid w:val="7D93DAC5"/>
    <w:rsid w:val="7DA019F9"/>
    <w:rsid w:val="7DA416B8"/>
    <w:rsid w:val="7DA60447"/>
    <w:rsid w:val="7DB15CCC"/>
    <w:rsid w:val="7DB3678D"/>
    <w:rsid w:val="7DBEB9C2"/>
    <w:rsid w:val="7DBF2E80"/>
    <w:rsid w:val="7DD2DD9F"/>
    <w:rsid w:val="7DD74066"/>
    <w:rsid w:val="7DEF1D1A"/>
    <w:rsid w:val="7DFE99C2"/>
    <w:rsid w:val="7E0482DA"/>
    <w:rsid w:val="7E45AA8B"/>
    <w:rsid w:val="7E4E6467"/>
    <w:rsid w:val="7E55312D"/>
    <w:rsid w:val="7E5665F6"/>
    <w:rsid w:val="7E62D148"/>
    <w:rsid w:val="7E6C660B"/>
    <w:rsid w:val="7E714D0C"/>
    <w:rsid w:val="7E76025D"/>
    <w:rsid w:val="7E7A42AB"/>
    <w:rsid w:val="7E80D302"/>
    <w:rsid w:val="7E841126"/>
    <w:rsid w:val="7E8986A8"/>
    <w:rsid w:val="7E8F4555"/>
    <w:rsid w:val="7E9E10B6"/>
    <w:rsid w:val="7EA6E3F5"/>
    <w:rsid w:val="7EBDAA11"/>
    <w:rsid w:val="7EBED814"/>
    <w:rsid w:val="7EC89599"/>
    <w:rsid w:val="7ECF891E"/>
    <w:rsid w:val="7EE00F8B"/>
    <w:rsid w:val="7EFF6C67"/>
    <w:rsid w:val="7F024915"/>
    <w:rsid w:val="7F3715D1"/>
    <w:rsid w:val="7F5874D5"/>
    <w:rsid w:val="7F6F3A2B"/>
    <w:rsid w:val="7F74C04F"/>
    <w:rsid w:val="7F81F4E2"/>
    <w:rsid w:val="7FACB050"/>
    <w:rsid w:val="7FB2B61E"/>
    <w:rsid w:val="7FB3CF5B"/>
    <w:rsid w:val="7FB9FCFE"/>
    <w:rsid w:val="7FBD72EB"/>
    <w:rsid w:val="7FC0AB7E"/>
    <w:rsid w:val="7FC2D941"/>
    <w:rsid w:val="7FC53466"/>
    <w:rsid w:val="7FCCC069"/>
    <w:rsid w:val="7FD1DABA"/>
    <w:rsid w:val="7FD6E48F"/>
    <w:rsid w:val="7FDA3AF6"/>
    <w:rsid w:val="7FE1ACF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D57C8E"/>
  <w15:docId w15:val="{B9CF3EF5-CFA7-4201-8F8B-0489BB906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85B"/>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8785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8785B"/>
    <w:rPr>
      <w:rFonts w:ascii="Tahoma" w:hAnsi="Tahoma" w:cs="Tahoma"/>
      <w:sz w:val="16"/>
      <w:szCs w:val="16"/>
    </w:rPr>
  </w:style>
  <w:style w:type="character" w:customStyle="1" w:styleId="BalloonTextChar">
    <w:name w:val="Balloon Text Char"/>
    <w:basedOn w:val="DefaultParagraphFont"/>
    <w:link w:val="BalloonText"/>
    <w:uiPriority w:val="99"/>
    <w:semiHidden/>
    <w:rsid w:val="0018785B"/>
    <w:rPr>
      <w:rFonts w:ascii="Tahoma" w:eastAsia="Times New Roman" w:hAnsi="Tahoma" w:cs="Tahoma"/>
      <w:sz w:val="16"/>
      <w:szCs w:val="16"/>
      <w:lang w:eastAsia="en-GB"/>
    </w:rPr>
  </w:style>
  <w:style w:type="character" w:customStyle="1" w:styleId="Marker">
    <w:name w:val="Marker"/>
    <w:basedOn w:val="DefaultParagraphFont"/>
    <w:rsid w:val="0018785B"/>
    <w:rPr>
      <w:color w:val="0000FF"/>
      <w:shd w:val="clear" w:color="auto" w:fill="auto"/>
    </w:rPr>
  </w:style>
  <w:style w:type="paragraph" w:customStyle="1" w:styleId="Pagedecouverture">
    <w:name w:val="Page de couverture"/>
    <w:basedOn w:val="Normal"/>
    <w:next w:val="Normal"/>
    <w:rsid w:val="0018785B"/>
    <w:pPr>
      <w:jc w:val="both"/>
    </w:pPr>
    <w:rPr>
      <w:rFonts w:eastAsiaTheme="minorHAnsi"/>
      <w:szCs w:val="22"/>
      <w:lang w:eastAsia="en-US"/>
    </w:rPr>
  </w:style>
  <w:style w:type="paragraph" w:styleId="Header">
    <w:name w:val="header"/>
    <w:basedOn w:val="Normal"/>
    <w:link w:val="HeaderChar"/>
    <w:uiPriority w:val="99"/>
    <w:unhideWhenUsed/>
    <w:rsid w:val="0098640A"/>
    <w:pPr>
      <w:tabs>
        <w:tab w:val="center" w:pos="4535"/>
        <w:tab w:val="right" w:pos="9071"/>
      </w:tabs>
      <w:spacing w:after="120"/>
      <w:jc w:val="both"/>
    </w:pPr>
    <w:rPr>
      <w:rFonts w:eastAsiaTheme="minorHAnsi"/>
      <w:szCs w:val="22"/>
      <w:lang w:eastAsia="en-US"/>
    </w:rPr>
  </w:style>
  <w:style w:type="character" w:customStyle="1" w:styleId="HeaderChar">
    <w:name w:val="Header Char"/>
    <w:basedOn w:val="DefaultParagraphFont"/>
    <w:link w:val="Header"/>
    <w:uiPriority w:val="99"/>
    <w:rsid w:val="0098640A"/>
    <w:rPr>
      <w:rFonts w:ascii="Times New Roman" w:hAnsi="Times New Roman" w:cs="Times New Roman"/>
      <w:sz w:val="24"/>
    </w:rPr>
  </w:style>
  <w:style w:type="paragraph" w:styleId="Footer">
    <w:name w:val="footer"/>
    <w:basedOn w:val="Normal"/>
    <w:link w:val="FooterChar"/>
    <w:uiPriority w:val="99"/>
    <w:unhideWhenUsed/>
    <w:rsid w:val="0098640A"/>
    <w:pPr>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98640A"/>
    <w:rPr>
      <w:rFonts w:ascii="Times New Roman" w:hAnsi="Times New Roman" w:cs="Times New Roman"/>
      <w:sz w:val="24"/>
    </w:rPr>
  </w:style>
  <w:style w:type="paragraph" w:customStyle="1" w:styleId="FooterCoverPage">
    <w:name w:val="Footer Cover Page"/>
    <w:basedOn w:val="Normal"/>
    <w:link w:val="FooterCoverPageChar"/>
    <w:rsid w:val="0018785B"/>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18785B"/>
    <w:rPr>
      <w:rFonts w:ascii="Times New Roman" w:eastAsia="Times New Roman" w:hAnsi="Times New Roman" w:cs="Times New Roman"/>
      <w:sz w:val="24"/>
      <w:szCs w:val="24"/>
      <w:lang w:eastAsia="en-GB"/>
    </w:rPr>
  </w:style>
  <w:style w:type="paragraph" w:customStyle="1" w:styleId="HeaderCoverPage">
    <w:name w:val="Header Cover Page"/>
    <w:basedOn w:val="Normal"/>
    <w:link w:val="HeaderCoverPageChar"/>
    <w:rsid w:val="0018785B"/>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18785B"/>
    <w:rPr>
      <w:rFonts w:ascii="Times New Roman" w:eastAsia="Times New Roman" w:hAnsi="Times New Roman" w:cs="Times New Roman"/>
      <w:sz w:val="24"/>
      <w:szCs w:val="24"/>
      <w:lang w:eastAsia="en-GB"/>
    </w:rPr>
  </w:style>
  <w:style w:type="paragraph" w:customStyle="1" w:styleId="Declassification">
    <w:name w:val="Declassification"/>
    <w:basedOn w:val="Normal"/>
    <w:next w:val="Normal"/>
    <w:rsid w:val="0098640A"/>
    <w:pPr>
      <w:jc w:val="both"/>
    </w:pPr>
    <w:rPr>
      <w:rFonts w:eastAsiaTheme="minorHAnsi"/>
      <w:szCs w:val="22"/>
      <w:lang w:eastAsia="en-US"/>
    </w:rPr>
  </w:style>
  <w:style w:type="paragraph" w:customStyle="1" w:styleId="HeaderLandscape">
    <w:name w:val="HeaderLandscape"/>
    <w:basedOn w:val="Normal"/>
    <w:rsid w:val="0098640A"/>
    <w:pPr>
      <w:tabs>
        <w:tab w:val="center" w:pos="7285"/>
        <w:tab w:val="right" w:pos="14003"/>
      </w:tabs>
      <w:spacing w:after="120"/>
      <w:jc w:val="both"/>
    </w:pPr>
    <w:rPr>
      <w:rFonts w:eastAsiaTheme="minorHAnsi"/>
      <w:szCs w:val="22"/>
      <w:lang w:eastAsia="en-US"/>
    </w:rPr>
  </w:style>
  <w:style w:type="paragraph" w:customStyle="1" w:styleId="HeaderSensitivity">
    <w:name w:val="Header Sensitivity"/>
    <w:basedOn w:val="Normal"/>
    <w:rsid w:val="0098640A"/>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HeaderSensitivityRight">
    <w:name w:val="Header Sensitivity Right"/>
    <w:basedOn w:val="Normal"/>
    <w:rsid w:val="0098640A"/>
    <w:pPr>
      <w:spacing w:after="120"/>
      <w:jc w:val="right"/>
    </w:pPr>
    <w:rPr>
      <w:sz w:val="28"/>
    </w:rPr>
  </w:style>
  <w:style w:type="paragraph" w:customStyle="1" w:styleId="FooterLandscape">
    <w:name w:val="FooterLandscape"/>
    <w:basedOn w:val="Normal"/>
    <w:rsid w:val="0098640A"/>
    <w:pPr>
      <w:tabs>
        <w:tab w:val="center" w:pos="7285"/>
        <w:tab w:val="center" w:pos="10913"/>
        <w:tab w:val="right" w:pos="15137"/>
      </w:tabs>
      <w:spacing w:before="360"/>
      <w:ind w:left="-567" w:right="-567"/>
    </w:pPr>
    <w:rPr>
      <w:rFonts w:eastAsiaTheme="minorHAnsi"/>
      <w:szCs w:val="22"/>
      <w:lang w:eastAsia="en-US"/>
    </w:rPr>
  </w:style>
  <w:style w:type="paragraph" w:customStyle="1" w:styleId="FooterSensitivity">
    <w:name w:val="Footer Sensitivity"/>
    <w:basedOn w:val="Normal"/>
    <w:rsid w:val="0098640A"/>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paragraph" w:customStyle="1" w:styleId="Disclaimer">
    <w:name w:val="Disclaimer"/>
    <w:basedOn w:val="Normal"/>
    <w:rsid w:val="0098640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98640A"/>
    <w:pPr>
      <w:spacing w:line="276" w:lineRule="auto"/>
      <w:ind w:left="5103"/>
    </w:pPr>
    <w:rPr>
      <w:rFonts w:eastAsiaTheme="minorHAnsi"/>
      <w:sz w:val="28"/>
      <w:szCs w:val="22"/>
      <w:lang w:eastAsia="en-US"/>
    </w:rPr>
  </w:style>
  <w:style w:type="paragraph" w:customStyle="1" w:styleId="DateMarking">
    <w:name w:val="DateMarking"/>
    <w:basedOn w:val="Normal"/>
    <w:rsid w:val="0098640A"/>
    <w:pPr>
      <w:spacing w:line="276" w:lineRule="auto"/>
      <w:ind w:left="5103"/>
    </w:pPr>
    <w:rPr>
      <w:rFonts w:eastAsiaTheme="minorHAnsi"/>
      <w:i/>
      <w:sz w:val="28"/>
      <w:szCs w:val="22"/>
      <w:lang w:eastAsia="en-US"/>
    </w:rPr>
  </w:style>
  <w:style w:type="paragraph" w:customStyle="1" w:styleId="ReleasableTo">
    <w:name w:val="ReleasableTo"/>
    <w:basedOn w:val="Normal"/>
    <w:rsid w:val="0098640A"/>
    <w:pPr>
      <w:spacing w:line="276" w:lineRule="auto"/>
      <w:ind w:left="5103"/>
    </w:pPr>
    <w:rPr>
      <w:rFonts w:eastAsiaTheme="minorHAnsi"/>
      <w:i/>
      <w:sz w:val="28"/>
      <w:szCs w:val="22"/>
      <w:lang w:eastAsia="en-US"/>
    </w:rPr>
  </w:style>
  <w:style w:type="character" w:styleId="CommentReference">
    <w:name w:val="annotation reference"/>
    <w:basedOn w:val="DefaultParagraphFont"/>
    <w:uiPriority w:val="99"/>
    <w:semiHidden/>
    <w:unhideWhenUsed/>
    <w:rsid w:val="004E319E"/>
    <w:rPr>
      <w:sz w:val="16"/>
      <w:szCs w:val="16"/>
    </w:rPr>
  </w:style>
  <w:style w:type="paragraph" w:styleId="CommentText">
    <w:name w:val="annotation text"/>
    <w:basedOn w:val="Normal"/>
    <w:link w:val="CommentTextChar"/>
    <w:uiPriority w:val="99"/>
    <w:unhideWhenUsed/>
    <w:rsid w:val="004E319E"/>
    <w:rPr>
      <w:sz w:val="20"/>
      <w:szCs w:val="20"/>
    </w:rPr>
  </w:style>
  <w:style w:type="character" w:customStyle="1" w:styleId="CommentTextChar">
    <w:name w:val="Comment Text Char"/>
    <w:basedOn w:val="DefaultParagraphFont"/>
    <w:link w:val="CommentText"/>
    <w:uiPriority w:val="99"/>
    <w:rsid w:val="004E319E"/>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E319E"/>
    <w:rPr>
      <w:b/>
      <w:bCs/>
    </w:rPr>
  </w:style>
  <w:style w:type="character" w:customStyle="1" w:styleId="CommentSubjectChar">
    <w:name w:val="Comment Subject Char"/>
    <w:basedOn w:val="CommentTextChar"/>
    <w:link w:val="CommentSubject"/>
    <w:uiPriority w:val="99"/>
    <w:semiHidden/>
    <w:rsid w:val="004E319E"/>
    <w:rPr>
      <w:rFonts w:ascii="Times New Roman" w:eastAsia="Times New Roman" w:hAnsi="Times New Roman" w:cs="Times New Roman"/>
      <w:b/>
      <w:bCs/>
      <w:sz w:val="20"/>
      <w:szCs w:val="20"/>
      <w:lang w:eastAsia="en-GB"/>
    </w:rPr>
  </w:style>
  <w:style w:type="paragraph" w:styleId="ListParagraph">
    <w:name w:val="List Paragraph"/>
    <w:basedOn w:val="Normal"/>
    <w:uiPriority w:val="34"/>
    <w:qFormat/>
    <w:rsid w:val="222981CE"/>
    <w:pPr>
      <w:ind w:left="720"/>
      <w:contextualSpacing/>
    </w:pPr>
  </w:style>
  <w:style w:type="character" w:customStyle="1" w:styleId="normaltextrun">
    <w:name w:val="normaltextrun"/>
    <w:basedOn w:val="DefaultParagraphFont"/>
    <w:rsid w:val="00CE16F1"/>
  </w:style>
  <w:style w:type="character" w:customStyle="1" w:styleId="Mention1">
    <w:name w:val="Mention1"/>
    <w:basedOn w:val="DefaultParagraphFont"/>
    <w:uiPriority w:val="99"/>
    <w:unhideWhenUsed/>
    <w:rsid w:val="00926E4B"/>
    <w:rPr>
      <w:color w:val="2B579A"/>
      <w:shd w:val="clear" w:color="auto" w:fill="E1DFDD"/>
    </w:rPr>
  </w:style>
  <w:style w:type="paragraph" w:customStyle="1" w:styleId="Text2">
    <w:name w:val="Text 2"/>
    <w:basedOn w:val="Normal"/>
    <w:uiPriority w:val="1"/>
    <w:rsid w:val="2D130DED"/>
    <w:pPr>
      <w:tabs>
        <w:tab w:val="left" w:pos="2302"/>
      </w:tabs>
      <w:spacing w:after="240"/>
      <w:ind w:left="1202"/>
      <w:jc w:val="both"/>
    </w:pPr>
    <w:rPr>
      <w:rFonts w:asciiTheme="minorHAnsi" w:eastAsiaTheme="minorEastAsia" w:hAnsiTheme="minorHAnsi" w:cstheme="minorBidi"/>
    </w:rPr>
  </w:style>
  <w:style w:type="paragraph" w:styleId="Revision">
    <w:name w:val="Revision"/>
    <w:hidden/>
    <w:uiPriority w:val="99"/>
    <w:semiHidden/>
    <w:rsid w:val="00603CE2"/>
    <w:pPr>
      <w:spacing w:after="0" w:line="240" w:lineRule="auto"/>
    </w:pPr>
    <w:rPr>
      <w:rFonts w:ascii="Times New Roman" w:eastAsia="Times New Roman" w:hAnsi="Times New Roman" w:cs="Times New Roman"/>
      <w:sz w:val="24"/>
      <w:szCs w:val="24"/>
      <w:lang w:eastAsia="en-GB"/>
    </w:rPr>
  </w:style>
  <w:style w:type="paragraph" w:customStyle="1" w:styleId="Languesfaisantfoi">
    <w:name w:val="Langues faisant foi"/>
    <w:basedOn w:val="Normal"/>
    <w:next w:val="Normal"/>
    <w:rsid w:val="00D22202"/>
    <w:pPr>
      <w:spacing w:before="360" w:after="24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D22202"/>
    <w:pPr>
      <w:spacing w:before="360" w:after="240"/>
      <w:jc w:val="center"/>
    </w:pPr>
    <w:rPr>
      <w:rFonts w:eastAsiaTheme="minorHAnsi"/>
      <w:szCs w:val="22"/>
      <w:lang w:eastAsia="en-US"/>
    </w:rPr>
  </w:style>
  <w:style w:type="paragraph" w:customStyle="1" w:styleId="IntrtEEE">
    <w:name w:val="Intérêt EEE"/>
    <w:basedOn w:val="Languesfaisantfoi"/>
    <w:next w:val="Normal"/>
    <w:rsid w:val="00D22202"/>
    <w:pPr>
      <w:spacing w:after="0"/>
    </w:pPr>
  </w:style>
  <w:style w:type="paragraph" w:customStyle="1" w:styleId="IntrtEEEPagedecouverture">
    <w:name w:val="Intérêt EEE (Page de couverture)"/>
    <w:basedOn w:val="IntrtEEE"/>
    <w:next w:val="Normal"/>
    <w:rsid w:val="00D22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documenttasks/documenttasks1.xml><?xml version="1.0" encoding="utf-8"?>
<t:Tasks xmlns:t="http://schemas.microsoft.com/office/tasks/2019/documenttasks" xmlns:oel="http://schemas.microsoft.com/office/2019/extlst">
  <t:Task id="{A3C0CFF4-4A1A-4F92-8A3B-D7C32313A361}">
    <t:Anchor>
      <t:Comment id="1120265830"/>
    </t:Anchor>
    <t:History>
      <t:Event id="{8A8D90B4-AE50-45F0-B13A-C08FDEB86C3F}" time="2025-12-04T16:15:01.399Z">
        <t:Attribution userId="S::immavera.sardone@ec.europa.eu::833452d4-9016-436b-9676-c80e22bf7e95" userProvider="AD" userName="SARDONE Immavera (GROW)"/>
        <t:Anchor>
          <t:Comment id="1120265830"/>
        </t:Anchor>
        <t:Create/>
      </t:Event>
      <t:Event id="{22AC2B54-4615-423D-9C82-A7D4410C306C}" time="2025-12-04T16:15:01.399Z">
        <t:Attribution userId="S::immavera.sardone@ec.europa.eu::833452d4-9016-436b-9676-c80e22bf7e95" userProvider="AD" userName="SARDONE Immavera (GROW)"/>
        <t:Anchor>
          <t:Comment id="1120265830"/>
        </t:Anchor>
        <t:Assign userId="S::Ioana.DRAGOS@ext.ec.europa.eu::6c0c9738-da0e-4dbc-bce1-f89019af77f3" userProvider="AD" userName="DRAGOS Ioana (GROW-EXT)"/>
      </t:Event>
      <t:Event id="{8CE8962F-F1DC-404B-ADD1-C6F90CC9874B}" time="2025-12-04T16:15:01.399Z">
        <t:Attribution userId="S::immavera.sardone@ec.europa.eu::833452d4-9016-436b-9676-c80e22bf7e95" userProvider="AD" userName="SARDONE Immavera (GROW)"/>
        <t:Anchor>
          <t:Comment id="1120265830"/>
        </t:Anchor>
        <t:SetTitle title="@DRAGOS Ioana (GROW-EXT) can you check this is in line with the latest IA version?"/>
      </t:Event>
      <t:Event id="{EC633B08-1772-4198-B98A-4A25D20FC510}" time="2025-12-04T16:25:30.898Z">
        <t:Attribution userId="S::ioana.dragos@ext.ec.europa.eu::6c0c9738-da0e-4dbc-bce1-f89019af77f3" userProvider="AD" userName="DRAGOS Ioana (GROW-EXT)"/>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2EF9373D7657549B6CD127E08569206" ma:contentTypeVersion="4" ma:contentTypeDescription="Create a new document." ma:contentTypeScope="" ma:versionID="632e263fa9720dffe86f3e7860e047ab">
  <xsd:schema xmlns:xsd="http://www.w3.org/2001/XMLSchema" xmlns:xs="http://www.w3.org/2001/XMLSchema" xmlns:p="http://schemas.microsoft.com/office/2006/metadata/properties" xmlns:ns2="7c2df423-21e3-4881-a08a-095b88bfd823" targetNamespace="http://schemas.microsoft.com/office/2006/metadata/properties" ma:root="true" ma:fieldsID="83612f83e4b5760fcaa6923e0a35cf50" ns2:_="">
    <xsd:import namespace="7c2df423-21e3-4881-a08a-095b88bfd8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df423-21e3-4881-a08a-095b88bfd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CCE80E-734A-4297-8D0E-984F7E32D712}">
  <ds:schemaRefs>
    <ds:schemaRef ds:uri="http://schemas.microsoft.com/sharepoint/v3/contenttype/forms"/>
  </ds:schemaRefs>
</ds:datastoreItem>
</file>

<file path=customXml/itemProps2.xml><?xml version="1.0" encoding="utf-8"?>
<ds:datastoreItem xmlns:ds="http://schemas.openxmlformats.org/officeDocument/2006/customXml" ds:itemID="{4C7B9CC8-9C5A-47CD-B18C-D33B93ACE0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df423-21e3-4881-a08a-095b88bfd8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B228E3-FEEC-429F-8C93-CFCC37DE565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2516</Words>
  <Characters>15274</Characters>
  <Application>Microsoft Office Word</Application>
  <DocSecurity>0</DocSecurity>
  <Lines>636</Lines>
  <Paragraphs>296</Paragraphs>
  <ScaleCrop>false</ScaleCrop>
  <Manager/>
  <Company/>
  <LinksUpToDate>false</LinksUpToDate>
  <CharactersWithSpaces>17494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VANGOMPEL Sien (SG)</dc:creator>
  <cp:keywords/>
  <cp:lastModifiedBy>DE BOECK Alicia (DGT)</cp:lastModifiedBy>
  <cp:revision>7</cp:revision>
  <dcterms:created xsi:type="dcterms:W3CDTF">2026-03-04T07:59:00Z</dcterms:created>
  <dcterms:modified xsi:type="dcterms:W3CDTF">2026-04-20T13:18:00Z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Order">
    <vt:r8>400</vt:r8>
  </property>
  <property fmtid="{D5CDD505-2E9C-101B-9397-08002B2CF9AE}" pid="6" name="xd_Signature">
    <vt:bool>false</vt:bool>
  </property>
  <property fmtid="{D5CDD505-2E9C-101B-9397-08002B2CF9AE}" pid="7" name="xd_ProgID">
    <vt:lpwstr/>
  </property>
  <property fmtid="{D5CDD505-2E9C-101B-9397-08002B2CF9AE}" pid="8" name="_NewReviewCycle">
    <vt:lpwstr/>
  </property>
  <property fmtid="{D5CDD505-2E9C-101B-9397-08002B2CF9AE}" pid="9" name="ContentTypeId">
    <vt:lpwstr>0x01010082EF9373D7657549B6CD127E08569206</vt:lpwstr>
  </property>
  <property fmtid="{D5CDD505-2E9C-101B-9397-08002B2CF9AE}" pid="10" name="TemplateUrl">
    <vt:lpwstr/>
  </property>
  <property fmtid="{D5CDD505-2E9C-101B-9397-08002B2CF9AE}" pid="11" name="Level of sensitivity">
    <vt:lpwstr>Standard treatment</vt:lpwstr>
  </property>
  <property fmtid="{D5CDD505-2E9C-101B-9397-08002B2CF9AE}" pid="12" name="Last edited using">
    <vt:lpwstr>LW 9.2, Build 20250828</vt:lpwstr>
  </property>
  <property fmtid="{D5CDD505-2E9C-101B-9397-08002B2CF9AE}" pid="13" name="MSIP_Label_6bd9ddd1-4d20-43f6-abfa-fc3c07406f94_Enabled">
    <vt:lpwstr>true</vt:lpwstr>
  </property>
  <property fmtid="{D5CDD505-2E9C-101B-9397-08002B2CF9AE}" pid="14" name="MSIP_Label_6bd9ddd1-4d20-43f6-abfa-fc3c07406f94_SetDate">
    <vt:lpwstr>2023-05-31T08:09:38Z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0c445e2a-6c1c-4df6-8142-7d938f6f1f78</vt:lpwstr>
  </property>
  <property fmtid="{D5CDD505-2E9C-101B-9397-08002B2CF9AE}" pid="19" name="MSIP_Label_6bd9ddd1-4d20-43f6-abfa-fc3c07406f94_ContentBits">
    <vt:lpwstr>0</vt:lpwstr>
  </property>
  <property fmtid="{D5CDD505-2E9C-101B-9397-08002B2CF9AE}" pid="20" name="CPTemplateID">
    <vt:lpwstr>CP-027</vt:lpwstr>
  </property>
</Properties>
</file>